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超长文档测试</w:t>
      </w:r>
    </w:p>
    <w:p>
      <w:r>
        <w:t>本文档超过 5 万字符，用于验证 @document 模式下的超长回退（标题结构 + 相关段落）。</w:t>
      </w:r>
    </w:p>
    <w:p>
      <w:pPr>
        <w:pStyle w:val="Heading1"/>
      </w:pPr>
      <w:r>
        <w:t>1. 性能压测报告</w:t>
      </w:r>
    </w:p>
    <w:p>
      <w:pPr>
        <w:pStyle w:val="Heading2"/>
      </w:pPr>
      <w:r>
        <w:t>1.1 压测环境与结论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0001）该记录用于冲量，内容本身无实际含义，仅用于验证超长文档的回退策略。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0002）该记录用于冲量，内容本身无实际含义，仅用于验证超长文档的回退策略。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0003）该记录用于冲量，内容本身无实际含义，仅用于验证超长文档的回退策略。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0004）该记录用于冲量，内容本身无实际含义，仅用于验证超长文档的回退策略。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0005）该记录用于冲量，内容本身无实际含义，仅用于验证超长文档的回退策略。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0006）该记录用于冲量，内容本身无实际含义，仅用于验证超长文档的回退策略。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0007）该记录用于冲量，内容本身无实际含义，仅用于验证超长文档的回退策略。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0008）该记录用于冲量，内容本身无实际含义，仅用于验证超长文档的回退策略。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0009）该记录用于冲量，内容本身无实际含义，仅用于验证超长文档的回退策略。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0010）该记录用于冲量，内容本身无实际含义，仅用于验证超长文档的回退策略。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0011）该记录用于冲量，内容本身无实际含义，仅用于验证超长文档的回退策略。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0012）该记录用于冲量，内容本身无实际含义，仅用于验证超长文档的回退策略。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0013）该记录用于冲量，内容本身无实际含义，仅用于验证超长文档的回退策略。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0014）该记录用于冲量，内容本身无实际含义，仅用于验证超长文档的回退策略。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0015）该记录用于冲量，内容本身无实际含义，仅用于验证超长文档的回退策略。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0016）该记录用于冲量，内容本身无实际含义，仅用于验证超长文档的回退策略。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0017）该记录用于冲量，内容本身无实际含义，仅用于验证超长文档的回退策略。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0018）该记录用于冲量，内容本身无实际含义，仅用于验证超长文档的回退策略。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0019）该记录用于冲量，内容本身无实际含义，仅用于验证超长文档的回退策略。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0020）该记录用于冲量，内容本身无实际含义，仅用于验证超长文档的回退策略。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0021）该记录用于冲量，内容本身无实际含义，仅用于验证超长文档的回退策略。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0022）该记录用于冲量，内容本身无实际含义，仅用于验证超长文档的回退策略。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0023）该记录用于冲量，内容本身无实际含义，仅用于验证超长文档的回退策略。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0024）该记录用于冲量，内容本身无实际含义，仅用于验证超长文档的回退策略。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0025）该记录用于冲量，内容本身无实际含义，仅用于验证超长文档的回退策略。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0026）该记录用于冲量，内容本身无实际含义，仅用于验证超长文档的回退策略。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0027）该记录用于冲量，内容本身无实际含义，仅用于验证超长文档的回退策略。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0028）该记录用于冲量，内容本身无实际含义，仅用于验证超长文档的回退策略。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0029）该记录用于冲量，内容本身无实际含义，仅用于验证超长文档的回退策略。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0030）该记录用于冲量，内容本身无实际含义，仅用于验证超长文档的回退策略。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0031）该记录用于冲量，内容本身无实际含义，仅用于验证超长文档的回退策略。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0032）该记录用于冲量，内容本身无实际含义，仅用于验证超长文档的回退策略。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0033）该记录用于冲量，内容本身无实际含义，仅用于验证超长文档的回退策略。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0034）该记录用于冲量，内容本身无实际含义，仅用于验证超长文档的回退策略。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0035）该记录用于冲量，内容本身无实际含义，仅用于验证超长文档的回退策略。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0036）该记录用于冲量，内容本身无实际含义，仅用于验证超长文档的回退策略。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0037）该记录用于冲量，内容本身无实际含义，仅用于验证超长文档的回退策略。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0038）该记录用于冲量，内容本身无实际含义，仅用于验证超长文档的回退策略。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0039）该记录用于冲量，内容本身无实际含义，仅用于验证超长文档的回退策略。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0040）该记录用于冲量，内容本身无实际含义，仅用于验证超长文档的回退策略。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0041）该记录用于冲量，内容本身无实际含义，仅用于验证超长文档的回退策略。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0042）该记录用于冲量，内容本身无实际含义，仅用于验证超长文档的回退策略。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0043）该记录用于冲量，内容本身无实际含义，仅用于验证超长文档的回退策略。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0044）该记录用于冲量，内容本身无实际含义，仅用于验证超长文档的回退策略。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0045）该记录用于冲量，内容本身无实际含义，仅用于验证超长文档的回退策略。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0046）该记录用于冲量，内容本身无实际含义，仅用于验证超长文档的回退策略。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0047）该记录用于冲量，内容本身无实际含义，仅用于验证超长文档的回退策略。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0048）该记录用于冲量，内容本身无实际含义，仅用于验证超长文档的回退策略。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0049）该记录用于冲量，内容本身无实际含义，仅用于验证超长文档的回退策略。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0050）该记录用于冲量，内容本身无实际含义，仅用于验证超长文档的回退策略。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0051）该记录用于冲量，内容本身无实际含义，仅用于验证超长文档的回退策略。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0052）该记录用于冲量，内容本身无实际含义，仅用于验证超长文档的回退策略。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0053）该记录用于冲量，内容本身无实际含义，仅用于验证超长文档的回退策略。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0054）该记录用于冲量，内容本身无实际含义，仅用于验证超长文档的回退策略。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0055）该记录用于冲量，内容本身无实际含义，仅用于验证超长文档的回退策略。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0056）该记录用于冲量，内容本身无实际含义，仅用于验证超长文档的回退策略。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0057）该记录用于冲量，内容本身无实际含义，仅用于验证超长文档的回退策略。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0058）该记录用于冲量，内容本身无实际含义，仅用于验证超长文档的回退策略。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0059）该记录用于冲量，内容本身无实际含义，仅用于验证超长文档的回退策略。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0060）该记录用于冲量，内容本身无实际含义，仅用于验证超长文档的回退策略。</w:t>
      </w:r>
    </w:p>
    <w:p>
      <w:pPr>
        <w:pStyle w:val="Heading1"/>
      </w:pPr>
      <w:r>
        <w:t>2. 容量规划说明</w:t>
      </w:r>
    </w:p>
    <w:p>
      <w:pPr>
        <w:pStyle w:val="Heading2"/>
      </w:pPr>
      <w:r>
        <w:t>2.1 数据增长模型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0061）该记录用于冲量，内容本身无实际含义，仅用于验证超长文档的回退策略。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0062）该记录用于冲量，内容本身无实际含义，仅用于验证超长文档的回退策略。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0063）该记录用于冲量，内容本身无实际含义，仅用于验证超长文档的回退策略。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0064）该记录用于冲量，内容本身无实际含义，仅用于验证超长文档的回退策略。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0065）该记录用于冲量，内容本身无实际含义，仅用于验证超长文档的回退策略。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0066）该记录用于冲量，内容本身无实际含义，仅用于验证超长文档的回退策略。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0067）该记录用于冲量，内容本身无实际含义，仅用于验证超长文档的回退策略。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0068）该记录用于冲量，内容本身无实际含义，仅用于验证超长文档的回退策略。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0069）该记录用于冲量，内容本身无实际含义，仅用于验证超长文档的回退策略。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0070）该记录用于冲量，内容本身无实际含义，仅用于验证超长文档的回退策略。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0071）该记录用于冲量，内容本身无实际含义，仅用于验证超长文档的回退策略。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0072）该记录用于冲量，内容本身无实际含义，仅用于验证超长文档的回退策略。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0073）该记录用于冲量，内容本身无实际含义，仅用于验证超长文档的回退策略。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0074）该记录用于冲量，内容本身无实际含义，仅用于验证超长文档的回退策略。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0075）该记录用于冲量，内容本身无实际含义，仅用于验证超长文档的回退策略。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0076）该记录用于冲量，内容本身无实际含义，仅用于验证超长文档的回退策略。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0077）该记录用于冲量，内容本身无实际含义，仅用于验证超长文档的回退策略。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0078）该记录用于冲量，内容本身无实际含义，仅用于验证超长文档的回退策略。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0079）该记录用于冲量，内容本身无实际含义，仅用于验证超长文档的回退策略。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0080）该记录用于冲量，内容本身无实际含义，仅用于验证超长文档的回退策略。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0081）该记录用于冲量，内容本身无实际含义，仅用于验证超长文档的回退策略。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0082）该记录用于冲量，内容本身无实际含义，仅用于验证超长文档的回退策略。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0083）该记录用于冲量，内容本身无实际含义，仅用于验证超长文档的回退策略。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0084）该记录用于冲量，内容本身无实际含义，仅用于验证超长文档的回退策略。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0085）该记录用于冲量，内容本身无实际含义，仅用于验证超长文档的回退策略。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0086）该记录用于冲量，内容本身无实际含义，仅用于验证超长文档的回退策略。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0087）该记录用于冲量，内容本身无实际含义，仅用于验证超长文档的回退策略。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0088）该记录用于冲量，内容本身无实际含义，仅用于验证超长文档的回退策略。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0089）该记录用于冲量，内容本身无实际含义，仅用于验证超长文档的回退策略。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0090）该记录用于冲量，内容本身无实际含义，仅用于验证超长文档的回退策略。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0091）该记录用于冲量，内容本身无实际含义，仅用于验证超长文档的回退策略。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0092）该记录用于冲量，内容本身无实际含义，仅用于验证超长文档的回退策略。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0093）该记录用于冲量，内容本身无实际含义，仅用于验证超长文档的回退策略。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0094）该记录用于冲量，内容本身无实际含义，仅用于验证超长文档的回退策略。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0095）该记录用于冲量，内容本身无实际含义，仅用于验证超长文档的回退策略。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0096）该记录用于冲量，内容本身无实际含义，仅用于验证超长文档的回退策略。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0097）该记录用于冲量，内容本身无实际含义，仅用于验证超长文档的回退策略。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0098）该记录用于冲量，内容本身无实际含义，仅用于验证超长文档的回退策略。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0099）该记录用于冲量，内容本身无实际含义，仅用于验证超长文档的回退策略。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0100）该记录用于冲量，内容本身无实际含义，仅用于验证超长文档的回退策略。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0101）该记录用于冲量，内容本身无实际含义，仅用于验证超长文档的回退策略。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0102）该记录用于冲量，内容本身无实际含义，仅用于验证超长文档的回退策略。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0103）该记录用于冲量，内容本身无实际含义，仅用于验证超长文档的回退策略。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0104）该记录用于冲量，内容本身无实际含义，仅用于验证超长文档的回退策略。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0105）该记录用于冲量，内容本身无实际含义，仅用于验证超长文档的回退策略。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0106）该记录用于冲量，内容本身无实际含义，仅用于验证超长文档的回退策略。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0107）该记录用于冲量，内容本身无实际含义，仅用于验证超长文档的回退策略。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0108）该记录用于冲量，内容本身无实际含义，仅用于验证超长文档的回退策略。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0109）该记录用于冲量，内容本身无实际含义，仅用于验证超长文档的回退策略。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0110）该记录用于冲量，内容本身无实际含义，仅用于验证超长文档的回退策略。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0111）该记录用于冲量，内容本身无实际含义，仅用于验证超长文档的回退策略。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0112）该记录用于冲量，内容本身无实际含义，仅用于验证超长文档的回退策略。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0113）该记录用于冲量，内容本身无实际含义，仅用于验证超长文档的回退策略。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0114）该记录用于冲量，内容本身无实际含义，仅用于验证超长文档的回退策略。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0115）该记录用于冲量，内容本身无实际含义，仅用于验证超长文档的回退策略。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0116）该记录用于冲量，内容本身无实际含义，仅用于验证超长文档的回退策略。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0117）该记录用于冲量，内容本身无实际含义，仅用于验证超长文档的回退策略。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0118）该记录用于冲量，内容本身无实际含义，仅用于验证超长文档的回退策略。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0119）该记录用于冲量，内容本身无实际含义，仅用于验证超长文档的回退策略。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0120）该记录用于冲量，内容本身无实际含义，仅用于验证超长文档的回退策略。</w:t>
      </w:r>
    </w:p>
    <w:p>
      <w:pPr>
        <w:pStyle w:val="Heading1"/>
      </w:pPr>
      <w:r>
        <w:t>3. 灰度发布方案</w:t>
      </w:r>
    </w:p>
    <w:p>
      <w:pPr>
        <w:pStyle w:val="Heading2"/>
      </w:pPr>
      <w:r>
        <w:t>3.1 批次与回滚策略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0121）该记录用于冲量，内容本身无实际含义，仅用于验证超长文档的回退策略。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0122）该记录用于冲量，内容本身无实际含义，仅用于验证超长文档的回退策略。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0123）该记录用于冲量，内容本身无实际含义，仅用于验证超长文档的回退策略。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0124）该记录用于冲量，内容本身无实际含义，仅用于验证超长文档的回退策略。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0125）该记录用于冲量，内容本身无实际含义，仅用于验证超长文档的回退策略。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0126）该记录用于冲量，内容本身无实际含义，仅用于验证超长文档的回退策略。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0127）该记录用于冲量，内容本身无实际含义，仅用于验证超长文档的回退策略。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0128）该记录用于冲量，内容本身无实际含义，仅用于验证超长文档的回退策略。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0129）该记录用于冲量，内容本身无实际含义，仅用于验证超长文档的回退策略。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0130）该记录用于冲量，内容本身无实际含义，仅用于验证超长文档的回退策略。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0131）该记录用于冲量，内容本身无实际含义，仅用于验证超长文档的回退策略。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0132）该记录用于冲量，内容本身无实际含义，仅用于验证超长文档的回退策略。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0133）该记录用于冲量，内容本身无实际含义，仅用于验证超长文档的回退策略。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0134）该记录用于冲量，内容本身无实际含义，仅用于验证超长文档的回退策略。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0135）该记录用于冲量，内容本身无实际含义，仅用于验证超长文档的回退策略。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0136）该记录用于冲量，内容本身无实际含义，仅用于验证超长文档的回退策略。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0137）该记录用于冲量，内容本身无实际含义，仅用于验证超长文档的回退策略。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0138）该记录用于冲量，内容本身无实际含义，仅用于验证超长文档的回退策略。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0139）该记录用于冲量，内容本身无实际含义，仅用于验证超长文档的回退策略。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0140）该记录用于冲量，内容本身无实际含义，仅用于验证超长文档的回退策略。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0141）该记录用于冲量，内容本身无实际含义，仅用于验证超长文档的回退策略。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0142）该记录用于冲量，内容本身无实际含义，仅用于验证超长文档的回退策略。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0143）该记录用于冲量，内容本身无实际含义，仅用于验证超长文档的回退策略。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0144）该记录用于冲量，内容本身无实际含义，仅用于验证超长文档的回退策略。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0145）该记录用于冲量，内容本身无实际含义，仅用于验证超长文档的回退策略。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0146）该记录用于冲量，内容本身无实际含义，仅用于验证超长文档的回退策略。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0147）该记录用于冲量，内容本身无实际含义，仅用于验证超长文档的回退策略。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0148）该记录用于冲量，内容本身无实际含义，仅用于验证超长文档的回退策略。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0149）该记录用于冲量，内容本身无实际含义，仅用于验证超长文档的回退策略。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0150）该记录用于冲量，内容本身无实际含义，仅用于验证超长文档的回退策略。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0151）该记录用于冲量，内容本身无实际含义，仅用于验证超长文档的回退策略。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0152）该记录用于冲量，内容本身无实际含义，仅用于验证超长文档的回退策略。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0153）该记录用于冲量，内容本身无实际含义，仅用于验证超长文档的回退策略。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0154）该记录用于冲量，内容本身无实际含义，仅用于验证超长文档的回退策略。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0155）该记录用于冲量，内容本身无实际含义，仅用于验证超长文档的回退策略。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0156）该记录用于冲量，内容本身无实际含义，仅用于验证超长文档的回退策略。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0157）该记录用于冲量，内容本身无实际含义，仅用于验证超长文档的回退策略。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0158）该记录用于冲量，内容本身无实际含义，仅用于验证超长文档的回退策略。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0159）该记录用于冲量，内容本身无实际含义，仅用于验证超长文档的回退策略。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0160）该记录用于冲量，内容本身无实际含义，仅用于验证超长文档的回退策略。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0161）该记录用于冲量，内容本身无实际含义，仅用于验证超长文档的回退策略。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0162）该记录用于冲量，内容本身无实际含义，仅用于验证超长文档的回退策略。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0163）该记录用于冲量，内容本身无实际含义，仅用于验证超长文档的回退策略。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0164）该记录用于冲量，内容本身无实际含义，仅用于验证超长文档的回退策略。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0165）该记录用于冲量，内容本身无实际含义，仅用于验证超长文档的回退策略。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0166）该记录用于冲量，内容本身无实际含义，仅用于验证超长文档的回退策略。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0167）该记录用于冲量，内容本身无实际含义，仅用于验证超长文档的回退策略。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0168）该记录用于冲量，内容本身无实际含义，仅用于验证超长文档的回退策略。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0169）该记录用于冲量，内容本身无实际含义，仅用于验证超长文档的回退策略。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0170）该记录用于冲量，内容本身无实际含义，仅用于验证超长文档的回退策略。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0171）该记录用于冲量，内容本身无实际含义，仅用于验证超长文档的回退策略。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0172）该记录用于冲量，内容本身无实际含义，仅用于验证超长文档的回退策略。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0173）该记录用于冲量，内容本身无实际含义，仅用于验证超长文档的回退策略。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0174）该记录用于冲量，内容本身无实际含义，仅用于验证超长文档的回退策略。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0175）该记录用于冲量，内容本身无实际含义，仅用于验证超长文档的回退策略。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0176）该记录用于冲量，内容本身无实际含义，仅用于验证超长文档的回退策略。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0177）该记录用于冲量，内容本身无实际含义，仅用于验证超长文档的回退策略。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0178）该记录用于冲量，内容本身无实际含义，仅用于验证超长文档的回退策略。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0179）该记录用于冲量，内容本身无实际含义，仅用于验证超长文档的回退策略。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0180）该记录用于冲量，内容本身无实际含义，仅用于验证超长文档的回退策略。</w:t>
      </w:r>
    </w:p>
    <w:p>
      <w:pPr>
        <w:pStyle w:val="Heading1"/>
      </w:pPr>
      <w:r>
        <w:t>4. 安全审计记录</w:t>
      </w:r>
    </w:p>
    <w:p>
      <w:pPr>
        <w:pStyle w:val="Heading2"/>
      </w:pPr>
      <w:r>
        <w:t>4.1 风险项与整改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0181）该记录用于冲量，内容本身无实际含义，仅用于验证超长文档的回退策略。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0182）该记录用于冲量，内容本身无实际含义，仅用于验证超长文档的回退策略。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0183）该记录用于冲量，内容本身无实际含义，仅用于验证超长文档的回退策略。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0184）该记录用于冲量，内容本身无实际含义，仅用于验证超长文档的回退策略。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0185）该记录用于冲量，内容本身无实际含义，仅用于验证超长文档的回退策略。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0186）该记录用于冲量，内容本身无实际含义，仅用于验证超长文档的回退策略。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0187）该记录用于冲量，内容本身无实际含义，仅用于验证超长文档的回退策略。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0188）该记录用于冲量，内容本身无实际含义，仅用于验证超长文档的回退策略。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0189）该记录用于冲量，内容本身无实际含义，仅用于验证超长文档的回退策略。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0190）该记录用于冲量，内容本身无实际含义，仅用于验证超长文档的回退策略。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0191）该记录用于冲量，内容本身无实际含义，仅用于验证超长文档的回退策略。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0192）该记录用于冲量，内容本身无实际含义，仅用于验证超长文档的回退策略。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0193）该记录用于冲量，内容本身无实际含义，仅用于验证超长文档的回退策略。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0194）该记录用于冲量，内容本身无实际含义，仅用于验证超长文档的回退策略。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0195）该记录用于冲量，内容本身无实际含义，仅用于验证超长文档的回退策略。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0196）该记录用于冲量，内容本身无实际含义，仅用于验证超长文档的回退策略。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0197）该记录用于冲量，内容本身无实际含义，仅用于验证超长文档的回退策略。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0198）该记录用于冲量，内容本身无实际含义，仅用于验证超长文档的回退策略。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0199）该记录用于冲量，内容本身无实际含义，仅用于验证超长文档的回退策略。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0200）该记录用于冲量，内容本身无实际含义，仅用于验证超长文档的回退策略。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0201）该记录用于冲量，内容本身无实际含义，仅用于验证超长文档的回退策略。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0202）该记录用于冲量，内容本身无实际含义，仅用于验证超长文档的回退策略。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0203）该记录用于冲量，内容本身无实际含义，仅用于验证超长文档的回退策略。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0204）该记录用于冲量，内容本身无实际含义，仅用于验证超长文档的回退策略。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0205）该记录用于冲量，内容本身无实际含义，仅用于验证超长文档的回退策略。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0206）该记录用于冲量，内容本身无实际含义，仅用于验证超长文档的回退策略。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0207）该记录用于冲量，内容本身无实际含义，仅用于验证超长文档的回退策略。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0208）该记录用于冲量，内容本身无实际含义，仅用于验证超长文档的回退策略。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0209）该记录用于冲量，内容本身无实际含义，仅用于验证超长文档的回退策略。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0210）该记录用于冲量，内容本身无实际含义，仅用于验证超长文档的回退策略。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0211）该记录用于冲量，内容本身无实际含义，仅用于验证超长文档的回退策略。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0212）该记录用于冲量，内容本身无实际含义，仅用于验证超长文档的回退策略。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0213）该记录用于冲量，内容本身无实际含义，仅用于验证超长文档的回退策略。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0214）该记录用于冲量，内容本身无实际含义，仅用于验证超长文档的回退策略。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0215）该记录用于冲量，内容本身无实际含义，仅用于验证超长文档的回退策略。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0216）该记录用于冲量，内容本身无实际含义，仅用于验证超长文档的回退策略。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0217）该记录用于冲量，内容本身无实际含义，仅用于验证超长文档的回退策略。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0218）该记录用于冲量，内容本身无实际含义，仅用于验证超长文档的回退策略。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0219）该记录用于冲量，内容本身无实际含义，仅用于验证超长文档的回退策略。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0220）该记录用于冲量，内容本身无实际含义，仅用于验证超长文档的回退策略。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0221）该记录用于冲量，内容本身无实际含义，仅用于验证超长文档的回退策略。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0222）该记录用于冲量，内容本身无实际含义，仅用于验证超长文档的回退策略。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0223）该记录用于冲量，内容本身无实际含义，仅用于验证超长文档的回退策略。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0224）该记录用于冲量，内容本身无实际含义，仅用于验证超长文档的回退策略。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0225）该记录用于冲量，内容本身无实际含义，仅用于验证超长文档的回退策略。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0226）该记录用于冲量，内容本身无实际含义，仅用于验证超长文档的回退策略。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0227）该记录用于冲量，内容本身无实际含义，仅用于验证超长文档的回退策略。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0228）该记录用于冲量，内容本身无实际含义，仅用于验证超长文档的回退策略。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0229）该记录用于冲量，内容本身无实际含义，仅用于验证超长文档的回退策略。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0230）该记录用于冲量，内容本身无实际含义，仅用于验证超长文档的回退策略。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0231）该记录用于冲量，内容本身无实际含义，仅用于验证超长文档的回退策略。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0232）该记录用于冲量，内容本身无实际含义，仅用于验证超长文档的回退策略。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0233）该记录用于冲量，内容本身无实际含义，仅用于验证超长文档的回退策略。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0234）该记录用于冲量，内容本身无实际含义，仅用于验证超长文档的回退策略。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0235）该记录用于冲量，内容本身无实际含义，仅用于验证超长文档的回退策略。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0236）该记录用于冲量，内容本身无实际含义，仅用于验证超长文档的回退策略。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0237）该记录用于冲量，内容本身无实际含义，仅用于验证超长文档的回退策略。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0238）该记录用于冲量，内容本身无实际含义，仅用于验证超长文档的回退策略。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0239）该记录用于冲量，内容本身无实际含义，仅用于验证超长文档的回退策略。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0240）该记录用于冲量，内容本身无实际含义，仅用于验证超长文档的回退策略。</w:t>
      </w:r>
    </w:p>
    <w:p>
      <w:pPr>
        <w:pStyle w:val="Heading1"/>
      </w:pPr>
      <w:r>
        <w:t>5. 监控告警治理</w:t>
      </w:r>
    </w:p>
    <w:p>
      <w:pPr>
        <w:pStyle w:val="Heading2"/>
      </w:pPr>
      <w:r>
        <w:t>5.1 指标与阈值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0241）该记录用于冲量，内容本身无实际含义，仅用于验证超长文档的回退策略。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0242）该记录用于冲量，内容本身无实际含义，仅用于验证超长文档的回退策略。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0243）该记录用于冲量，内容本身无实际含义，仅用于验证超长文档的回退策略。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0244）该记录用于冲量，内容本身无实际含义，仅用于验证超长文档的回退策略。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0245）该记录用于冲量，内容本身无实际含义，仅用于验证超长文档的回退策略。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0246）该记录用于冲量，内容本身无实际含义，仅用于验证超长文档的回退策略。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0247）该记录用于冲量，内容本身无实际含义，仅用于验证超长文档的回退策略。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0248）该记录用于冲量，内容本身无实际含义，仅用于验证超长文档的回退策略。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0249）该记录用于冲量，内容本身无实际含义，仅用于验证超长文档的回退策略。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0250）该记录用于冲量，内容本身无实际含义，仅用于验证超长文档的回退策略。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0251）该记录用于冲量，内容本身无实际含义，仅用于验证超长文档的回退策略。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0252）该记录用于冲量，内容本身无实际含义，仅用于验证超长文档的回退策略。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0253）该记录用于冲量，内容本身无实际含义，仅用于验证超长文档的回退策略。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0254）该记录用于冲量，内容本身无实际含义，仅用于验证超长文档的回退策略。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0255）该记录用于冲量，内容本身无实际含义，仅用于验证超长文档的回退策略。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0256）该记录用于冲量，内容本身无实际含义，仅用于验证超长文档的回退策略。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0257）该记录用于冲量，内容本身无实际含义，仅用于验证超长文档的回退策略。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0258）该记录用于冲量，内容本身无实际含义，仅用于验证超长文档的回退策略。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0259）该记录用于冲量，内容本身无实际含义，仅用于验证超长文档的回退策略。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0260）该记录用于冲量，内容本身无实际含义，仅用于验证超长文档的回退策略。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0261）该记录用于冲量，内容本身无实际含义，仅用于验证超长文档的回退策略。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0262）该记录用于冲量，内容本身无实际含义，仅用于验证超长文档的回退策略。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0263）该记录用于冲量，内容本身无实际含义，仅用于验证超长文档的回退策略。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0264）该记录用于冲量，内容本身无实际含义，仅用于验证超长文档的回退策略。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0265）该记录用于冲量，内容本身无实际含义，仅用于验证超长文档的回退策略。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0266）该记录用于冲量，内容本身无实际含义，仅用于验证超长文档的回退策略。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0267）该记录用于冲量，内容本身无实际含义，仅用于验证超长文档的回退策略。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0268）该记录用于冲量，内容本身无实际含义，仅用于验证超长文档的回退策略。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0269）该记录用于冲量，内容本身无实际含义，仅用于验证超长文档的回退策略。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0270）该记录用于冲量，内容本身无实际含义，仅用于验证超长文档的回退策略。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0271）该记录用于冲量，内容本身无实际含义，仅用于验证超长文档的回退策略。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0272）该记录用于冲量，内容本身无实际含义，仅用于验证超长文档的回退策略。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0273）该记录用于冲量，内容本身无实际含义，仅用于验证超长文档的回退策略。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0274）该记录用于冲量，内容本身无实际含义，仅用于验证超长文档的回退策略。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0275）该记录用于冲量，内容本身无实际含义，仅用于验证超长文档的回退策略。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0276）该记录用于冲量，内容本身无实际含义，仅用于验证超长文档的回退策略。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0277）该记录用于冲量，内容本身无实际含义，仅用于验证超长文档的回退策略。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0278）该记录用于冲量，内容本身无实际含义，仅用于验证超长文档的回退策略。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0279）该记录用于冲量，内容本身无实际含义，仅用于验证超长文档的回退策略。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0280）该记录用于冲量，内容本身无实际含义，仅用于验证超长文档的回退策略。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0281）该记录用于冲量，内容本身无实际含义，仅用于验证超长文档的回退策略。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0282）该记录用于冲量，内容本身无实际含义，仅用于验证超长文档的回退策略。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0283）该记录用于冲量，内容本身无实际含义，仅用于验证超长文档的回退策略。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0284）该记录用于冲量，内容本身无实际含义，仅用于验证超长文档的回退策略。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0285）该记录用于冲量，内容本身无实际含义，仅用于验证超长文档的回退策略。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0286）该记录用于冲量，内容本身无实际含义，仅用于验证超长文档的回退策略。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0287）该记录用于冲量，内容本身无实际含义，仅用于验证超长文档的回退策略。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0288）该记录用于冲量，内容本身无实际含义，仅用于验证超长文档的回退策略。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0289）该记录用于冲量，内容本身无实际含义，仅用于验证超长文档的回退策略。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0290）该记录用于冲量，内容本身无实际含义，仅用于验证超长文档的回退策略。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0291）该记录用于冲量，内容本身无实际含义，仅用于验证超长文档的回退策略。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0292）该记录用于冲量，内容本身无实际含义，仅用于验证超长文档的回退策略。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0293）该记录用于冲量，内容本身无实际含义，仅用于验证超长文档的回退策略。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0294）该记录用于冲量，内容本身无实际含义，仅用于验证超长文档的回退策略。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0295）该记录用于冲量，内容本身无实际含义，仅用于验证超长文档的回退策略。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0296）该记录用于冲量，内容本身无实际含义，仅用于验证超长文档的回退策略。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0297）该记录用于冲量，内容本身无实际含义，仅用于验证超长文档的回退策略。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0298）该记录用于冲量，内容本身无实际含义，仅用于验证超长文档的回退策略。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0299）该记录用于冲量，内容本身无实际含义，仅用于验证超长文档的回退策略。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0300）该记录用于冲量，内容本身无实际含义，仅用于验证超长文档的回退策略。</w:t>
      </w:r>
    </w:p>
    <w:p>
      <w:pPr>
        <w:pStyle w:val="Heading1"/>
      </w:pPr>
      <w:r>
        <w:t>6. 数据迁移计划</w:t>
      </w:r>
    </w:p>
    <w:p>
      <w:pPr>
        <w:pStyle w:val="Heading2"/>
      </w:pPr>
      <w:r>
        <w:t>6.1 双写与校验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0301）该记录用于冲量，内容本身无实际含义，仅用于验证超长文档的回退策略。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0302）该记录用于冲量，内容本身无实际含义，仅用于验证超长文档的回退策略。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0303）该记录用于冲量，内容本身无实际含义，仅用于验证超长文档的回退策略。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0304）该记录用于冲量，内容本身无实际含义，仅用于验证超长文档的回退策略。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0305）该记录用于冲量，内容本身无实际含义，仅用于验证超长文档的回退策略。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0306）该记录用于冲量，内容本身无实际含义，仅用于验证超长文档的回退策略。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0307）该记录用于冲量，内容本身无实际含义，仅用于验证超长文档的回退策略。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0308）该记录用于冲量，内容本身无实际含义，仅用于验证超长文档的回退策略。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0309）该记录用于冲量，内容本身无实际含义，仅用于验证超长文档的回退策略。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0310）该记录用于冲量，内容本身无实际含义，仅用于验证超长文档的回退策略。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0311）该记录用于冲量，内容本身无实际含义，仅用于验证超长文档的回退策略。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0312）该记录用于冲量，内容本身无实际含义，仅用于验证超长文档的回退策略。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0313）该记录用于冲量，内容本身无实际含义，仅用于验证超长文档的回退策略。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0314）该记录用于冲量，内容本身无实际含义，仅用于验证超长文档的回退策略。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0315）该记录用于冲量，内容本身无实际含义，仅用于验证超长文档的回退策略。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0316）该记录用于冲量，内容本身无实际含义，仅用于验证超长文档的回退策略。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0317）该记录用于冲量，内容本身无实际含义，仅用于验证超长文档的回退策略。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0318）该记录用于冲量，内容本身无实际含义，仅用于验证超长文档的回退策略。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0319）该记录用于冲量，内容本身无实际含义，仅用于验证超长文档的回退策略。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0320）该记录用于冲量，内容本身无实际含义，仅用于验证超长文档的回退策略。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0321）该记录用于冲量，内容本身无实际含义，仅用于验证超长文档的回退策略。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0322）该记录用于冲量，内容本身无实际含义，仅用于验证超长文档的回退策略。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0323）该记录用于冲量，内容本身无实际含义，仅用于验证超长文档的回退策略。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0324）该记录用于冲量，内容本身无实际含义，仅用于验证超长文档的回退策略。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0325）该记录用于冲量，内容本身无实际含义，仅用于验证超长文档的回退策略。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0326）该记录用于冲量，内容本身无实际含义，仅用于验证超长文档的回退策略。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0327）该记录用于冲量，内容本身无实际含义，仅用于验证超长文档的回退策略。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0328）该记录用于冲量，内容本身无实际含义，仅用于验证超长文档的回退策略。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0329）该记录用于冲量，内容本身无实际含义，仅用于验证超长文档的回退策略。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0330）该记录用于冲量，内容本身无实际含义，仅用于验证超长文档的回退策略。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0331）该记录用于冲量，内容本身无实际含义，仅用于验证超长文档的回退策略。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0332）该记录用于冲量，内容本身无实际含义，仅用于验证超长文档的回退策略。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0333）该记录用于冲量，内容本身无实际含义，仅用于验证超长文档的回退策略。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0334）该记录用于冲量，内容本身无实际含义，仅用于验证超长文档的回退策略。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0335）该记录用于冲量，内容本身无实际含义，仅用于验证超长文档的回退策略。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0336）该记录用于冲量，内容本身无实际含义，仅用于验证超长文档的回退策略。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0337）该记录用于冲量，内容本身无实际含义，仅用于验证超长文档的回退策略。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0338）该记录用于冲量，内容本身无实际含义，仅用于验证超长文档的回退策略。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0339）该记录用于冲量，内容本身无实际含义，仅用于验证超长文档的回退策略。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0340）该记录用于冲量，内容本身无实际含义，仅用于验证超长文档的回退策略。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0341）该记录用于冲量，内容本身无实际含义，仅用于验证超长文档的回退策略。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0342）该记录用于冲量，内容本身无实际含义，仅用于验证超长文档的回退策略。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0343）该记录用于冲量，内容本身无实际含义，仅用于验证超长文档的回退策略。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0344）该记录用于冲量，内容本身无实际含义，仅用于验证超长文档的回退策略。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0345）该记录用于冲量，内容本身无实际含义，仅用于验证超长文档的回退策略。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0346）该记录用于冲量，内容本身无实际含义，仅用于验证超长文档的回退策略。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0347）该记录用于冲量，内容本身无实际含义，仅用于验证超长文档的回退策略。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0348）该记录用于冲量，内容本身无实际含义，仅用于验证超长文档的回退策略。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0349）该记录用于冲量，内容本身无实际含义，仅用于验证超长文档的回退策略。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0350）该记录用于冲量，内容本身无实际含义，仅用于验证超长文档的回退策略。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0351）该记录用于冲量，内容本身无实际含义，仅用于验证超长文档的回退策略。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0352）该记录用于冲量，内容本身无实际含义，仅用于验证超长文档的回退策略。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0353）该记录用于冲量，内容本身无实际含义，仅用于验证超长文档的回退策略。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0354）该记录用于冲量，内容本身无实际含义，仅用于验证超长文档的回退策略。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0355）该记录用于冲量，内容本身无实际含义，仅用于验证超长文档的回退策略。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0356）该记录用于冲量，内容本身无实际含义，仅用于验证超长文档的回退策略。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0357）该记录用于冲量，内容本身无实际含义，仅用于验证超长文档的回退策略。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0358）该记录用于冲量，内容本身无实际含义，仅用于验证超长文档的回退策略。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0359）该记录用于冲量，内容本身无实际含义，仅用于验证超长文档的回退策略。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0360）该记录用于冲量，内容本身无实际含义，仅用于验证超长文档的回退策略。</w:t>
      </w:r>
    </w:p>
    <w:p>
      <w:pPr>
        <w:pStyle w:val="Heading1"/>
      </w:pPr>
      <w:r>
        <w:t>7. 接口契约变更</w:t>
      </w:r>
    </w:p>
    <w:p>
      <w:pPr>
        <w:pStyle w:val="Heading2"/>
      </w:pPr>
      <w:r>
        <w:t>7.1 兼容性说明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0361）该记录用于冲量，内容本身无实际含义，仅用于验证超长文档的回退策略。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0362）该记录用于冲量，内容本身无实际含义，仅用于验证超长文档的回退策略。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0363）该记录用于冲量，内容本身无实际含义，仅用于验证超长文档的回退策略。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0364）该记录用于冲量，内容本身无实际含义，仅用于验证超长文档的回退策略。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0365）该记录用于冲量，内容本身无实际含义，仅用于验证超长文档的回退策略。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0366）该记录用于冲量，内容本身无实际含义，仅用于验证超长文档的回退策略。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0367）该记录用于冲量，内容本身无实际含义，仅用于验证超长文档的回退策略。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0368）该记录用于冲量，内容本身无实际含义，仅用于验证超长文档的回退策略。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0369）该记录用于冲量，内容本身无实际含义，仅用于验证超长文档的回退策略。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0370）该记录用于冲量，内容本身无实际含义，仅用于验证超长文档的回退策略。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0371）该记录用于冲量，内容本身无实际含义，仅用于验证超长文档的回退策略。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0372）该记录用于冲量，内容本身无实际含义，仅用于验证超长文档的回退策略。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0373）该记录用于冲量，内容本身无实际含义，仅用于验证超长文档的回退策略。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0374）该记录用于冲量，内容本身无实际含义，仅用于验证超长文档的回退策略。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0375）该记录用于冲量，内容本身无实际含义，仅用于验证超长文档的回退策略。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0376）该记录用于冲量，内容本身无实际含义，仅用于验证超长文档的回退策略。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0377）该记录用于冲量，内容本身无实际含义，仅用于验证超长文档的回退策略。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0378）该记录用于冲量，内容本身无实际含义，仅用于验证超长文档的回退策略。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0379）该记录用于冲量，内容本身无实际含义，仅用于验证超长文档的回退策略。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0380）该记录用于冲量，内容本身无实际含义，仅用于验证超长文档的回退策略。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0381）该记录用于冲量，内容本身无实际含义，仅用于验证超长文档的回退策略。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0382）该记录用于冲量，内容本身无实际含义，仅用于验证超长文档的回退策略。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0383）该记录用于冲量，内容本身无实际含义，仅用于验证超长文档的回退策略。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0384）该记录用于冲量，内容本身无实际含义，仅用于验证超长文档的回退策略。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0385）该记录用于冲量，内容本身无实际含义，仅用于验证超长文档的回退策略。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0386）该记录用于冲量，内容本身无实际含义，仅用于验证超长文档的回退策略。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0387）该记录用于冲量，内容本身无实际含义，仅用于验证超长文档的回退策略。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0388）该记录用于冲量，内容本身无实际含义，仅用于验证超长文档的回退策略。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0389）该记录用于冲量，内容本身无实际含义，仅用于验证超长文档的回退策略。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0390）该记录用于冲量，内容本身无实际含义，仅用于验证超长文档的回退策略。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0391）该记录用于冲量，内容本身无实际含义，仅用于验证超长文档的回退策略。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0392）该记录用于冲量，内容本身无实际含义，仅用于验证超长文档的回退策略。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0393）该记录用于冲量，内容本身无实际含义，仅用于验证超长文档的回退策略。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0394）该记录用于冲量，内容本身无实际含义，仅用于验证超长文档的回退策略。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0395）该记录用于冲量，内容本身无实际含义，仅用于验证超长文档的回退策略。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0396）该记录用于冲量，内容本身无实际含义，仅用于验证超长文档的回退策略。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0397）该记录用于冲量，内容本身无实际含义，仅用于验证超长文档的回退策略。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0398）该记录用于冲量，内容本身无实际含义，仅用于验证超长文档的回退策略。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0399）该记录用于冲量，内容本身无实际含义，仅用于验证超长文档的回退策略。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0400）该记录用于冲量，内容本身无实际含义，仅用于验证超长文档的回退策略。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0401）该记录用于冲量，内容本身无实际含义，仅用于验证超长文档的回退策略。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0402）该记录用于冲量，内容本身无实际含义，仅用于验证超长文档的回退策略。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0403）该记录用于冲量，内容本身无实际含义，仅用于验证超长文档的回退策略。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0404）该记录用于冲量，内容本身无实际含义，仅用于验证超长文档的回退策略。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0405）该记录用于冲量，内容本身无实际含义，仅用于验证超长文档的回退策略。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0406）该记录用于冲量，内容本身无实际含义，仅用于验证超长文档的回退策略。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0407）该记录用于冲量，内容本身无实际含义，仅用于验证超长文档的回退策略。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0408）该记录用于冲量，内容本身无实际含义，仅用于验证超长文档的回退策略。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0409）该记录用于冲量，内容本身无实际含义，仅用于验证超长文档的回退策略。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0410）该记录用于冲量，内容本身无实际含义，仅用于验证超长文档的回退策略。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0411）该记录用于冲量，内容本身无实际含义，仅用于验证超长文档的回退策略。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0412）该记录用于冲量，内容本身无实际含义，仅用于验证超长文档的回退策略。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0413）该记录用于冲量，内容本身无实际含义，仅用于验证超长文档的回退策略。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0414）该记录用于冲量，内容本身无实际含义，仅用于验证超长文档的回退策略。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0415）该记录用于冲量，内容本身无实际含义，仅用于验证超长文档的回退策略。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0416）该记录用于冲量，内容本身无实际含义，仅用于验证超长文档的回退策略。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0417）该记录用于冲量，内容本身无实际含义，仅用于验证超长文档的回退策略。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0418）该记录用于冲量，内容本身无实际含义，仅用于验证超长文档的回退策略。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0419）该记录用于冲量，内容本身无实际含义，仅用于验证超长文档的回退策略。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0420）该记录用于冲量，内容本身无实际含义，仅用于验证超长文档的回退策略。</w:t>
      </w:r>
    </w:p>
    <w:p>
      <w:pPr>
        <w:pStyle w:val="Heading1"/>
      </w:pPr>
      <w:r>
        <w:t>8. 故障复盘汇总</w:t>
      </w:r>
    </w:p>
    <w:p>
      <w:pPr>
        <w:pStyle w:val="Heading2"/>
      </w:pPr>
      <w:r>
        <w:t>8.1 根因与改进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0421）该记录用于冲量，内容本身无实际含义，仅用于验证超长文档的回退策略。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0422）该记录用于冲量，内容本身无实际含义，仅用于验证超长文档的回退策略。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0423）该记录用于冲量，内容本身无实际含义，仅用于验证超长文档的回退策略。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0424）该记录用于冲量，内容本身无实际含义，仅用于验证超长文档的回退策略。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0425）该记录用于冲量，内容本身无实际含义，仅用于验证超长文档的回退策略。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0426）该记录用于冲量，内容本身无实际含义，仅用于验证超长文档的回退策略。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0427）该记录用于冲量，内容本身无实际含义，仅用于验证超长文档的回退策略。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0428）该记录用于冲量，内容本身无实际含义，仅用于验证超长文档的回退策略。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0429）该记录用于冲量，内容本身无实际含义，仅用于验证超长文档的回退策略。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0430）该记录用于冲量，内容本身无实际含义，仅用于验证超长文档的回退策略。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0431）该记录用于冲量，内容本身无实际含义，仅用于验证超长文档的回退策略。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0432）该记录用于冲量，内容本身无实际含义，仅用于验证超长文档的回退策略。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0433）该记录用于冲量，内容本身无实际含义，仅用于验证超长文档的回退策略。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0434）该记录用于冲量，内容本身无实际含义，仅用于验证超长文档的回退策略。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0435）该记录用于冲量，内容本身无实际含义，仅用于验证超长文档的回退策略。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0436）该记录用于冲量，内容本身无实际含义，仅用于验证超长文档的回退策略。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0437）该记录用于冲量，内容本身无实际含义，仅用于验证超长文档的回退策略。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0438）该记录用于冲量，内容本身无实际含义，仅用于验证超长文档的回退策略。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0439）该记录用于冲量，内容本身无实际含义，仅用于验证超长文档的回退策略。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0440）该记录用于冲量，内容本身无实际含义，仅用于验证超长文档的回退策略。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0441）该记录用于冲量，内容本身无实际含义，仅用于验证超长文档的回退策略。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0442）该记录用于冲量，内容本身无实际含义，仅用于验证超长文档的回退策略。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0443）该记录用于冲量，内容本身无实际含义，仅用于验证超长文档的回退策略。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0444）该记录用于冲量，内容本身无实际含义，仅用于验证超长文档的回退策略。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0445）该记录用于冲量，内容本身无实际含义，仅用于验证超长文档的回退策略。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0446）该记录用于冲量，内容本身无实际含义，仅用于验证超长文档的回退策略。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0447）该记录用于冲量，内容本身无实际含义，仅用于验证超长文档的回退策略。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0448）该记录用于冲量，内容本身无实际含义，仅用于验证超长文档的回退策略。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0449）该记录用于冲量，内容本身无实际含义，仅用于验证超长文档的回退策略。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0450）该记录用于冲量，内容本身无实际含义，仅用于验证超长文档的回退策略。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0451）该记录用于冲量，内容本身无实际含义，仅用于验证超长文档的回退策略。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0452）该记录用于冲量，内容本身无实际含义，仅用于验证超长文档的回退策略。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0453）该记录用于冲量，内容本身无实际含义，仅用于验证超长文档的回退策略。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0454）该记录用于冲量，内容本身无实际含义，仅用于验证超长文档的回退策略。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0455）该记录用于冲量，内容本身无实际含义，仅用于验证超长文档的回退策略。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0456）该记录用于冲量，内容本身无实际含义，仅用于验证超长文档的回退策略。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0457）该记录用于冲量，内容本身无实际含义，仅用于验证超长文档的回退策略。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0458）该记录用于冲量，内容本身无实际含义，仅用于验证超长文档的回退策略。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0459）该记录用于冲量，内容本身无实际含义，仅用于验证超长文档的回退策略。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0460）该记录用于冲量，内容本身无实际含义，仅用于验证超长文档的回退策略。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0461）该记录用于冲量，内容本身无实际含义，仅用于验证超长文档的回退策略。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0462）该记录用于冲量，内容本身无实际含义，仅用于验证超长文档的回退策略。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0463）该记录用于冲量，内容本身无实际含义，仅用于验证超长文档的回退策略。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0464）该记录用于冲量，内容本身无实际含义，仅用于验证超长文档的回退策略。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0465）该记录用于冲量，内容本身无实际含义，仅用于验证超长文档的回退策略。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0466）该记录用于冲量，内容本身无实际含义，仅用于验证超长文档的回退策略。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0467）该记录用于冲量，内容本身无实际含义，仅用于验证超长文档的回退策略。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0468）该记录用于冲量，内容本身无实际含义，仅用于验证超长文档的回退策略。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0469）该记录用于冲量，内容本身无实际含义，仅用于验证超长文档的回退策略。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0470）该记录用于冲量，内容本身无实际含义，仅用于验证超长文档的回退策略。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0471）该记录用于冲量，内容本身无实际含义，仅用于验证超长文档的回退策略。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0472）该记录用于冲量，内容本身无实际含义，仅用于验证超长文档的回退策略。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0473）该记录用于冲量，内容本身无实际含义，仅用于验证超长文档的回退策略。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0474）该记录用于冲量，内容本身无实际含义，仅用于验证超长文档的回退策略。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0475）该记录用于冲量，内容本身无实际含义，仅用于验证超长文档的回退策略。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0476）该记录用于冲量，内容本身无实际含义，仅用于验证超长文档的回退策略。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0477）该记录用于冲量，内容本身无实际含义，仅用于验证超长文档的回退策略。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0478）该记录用于冲量，内容本身无实际含义，仅用于验证超长文档的回退策略。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0479）该记录用于冲量，内容本身无实际含义，仅用于验证超长文档的回退策略。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0480）该记录用于冲量，内容本身无实际含义，仅用于验证超长文档的回退策略。</w:t>
      </w:r>
    </w:p>
    <w:p>
      <w:pPr>
        <w:pStyle w:val="Heading1"/>
      </w:pPr>
      <w:r>
        <w:t>9. 依赖组件清单</w:t>
      </w:r>
    </w:p>
    <w:p>
      <w:pPr>
        <w:pStyle w:val="Heading2"/>
      </w:pPr>
      <w:r>
        <w:t>9.1 版本与许可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0481）该记录用于冲量，内容本身无实际含义，仅用于验证超长文档的回退策略。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0482）该记录用于冲量，内容本身无实际含义，仅用于验证超长文档的回退策略。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0483）该记录用于冲量，内容本身无实际含义，仅用于验证超长文档的回退策略。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0484）该记录用于冲量，内容本身无实际含义，仅用于验证超长文档的回退策略。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0485）该记录用于冲量，内容本身无实际含义，仅用于验证超长文档的回退策略。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0486）该记录用于冲量，内容本身无实际含义，仅用于验证超长文档的回退策略。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0487）该记录用于冲量，内容本身无实际含义，仅用于验证超长文档的回退策略。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0488）该记录用于冲量，内容本身无实际含义，仅用于验证超长文档的回退策略。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0489）该记录用于冲量，内容本身无实际含义，仅用于验证超长文档的回退策略。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0490）该记录用于冲量，内容本身无实际含义，仅用于验证超长文档的回退策略。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0491）该记录用于冲量，内容本身无实际含义，仅用于验证超长文档的回退策略。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0492）该记录用于冲量，内容本身无实际含义，仅用于验证超长文档的回退策略。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0493）该记录用于冲量，内容本身无实际含义，仅用于验证超长文档的回退策略。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0494）该记录用于冲量，内容本身无实际含义，仅用于验证超长文档的回退策略。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0495）该记录用于冲量，内容本身无实际含义，仅用于验证超长文档的回退策略。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0496）该记录用于冲量，内容本身无实际含义，仅用于验证超长文档的回退策略。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0497）该记录用于冲量，内容本身无实际含义，仅用于验证超长文档的回退策略。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0498）该记录用于冲量，内容本身无实际含义，仅用于验证超长文档的回退策略。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0499）该记录用于冲量，内容本身无实际含义，仅用于验证超长文档的回退策略。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0500）该记录用于冲量，内容本身无实际含义，仅用于验证超长文档的回退策略。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0501）该记录用于冲量，内容本身无实际含义，仅用于验证超长文档的回退策略。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0502）该记录用于冲量，内容本身无实际含义，仅用于验证超长文档的回退策略。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0503）该记录用于冲量，内容本身无实际含义，仅用于验证超长文档的回退策略。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0504）该记录用于冲量，内容本身无实际含义，仅用于验证超长文档的回退策略。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0505）该记录用于冲量，内容本身无实际含义，仅用于验证超长文档的回退策略。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0506）该记录用于冲量，内容本身无实际含义，仅用于验证超长文档的回退策略。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0507）该记录用于冲量，内容本身无实际含义，仅用于验证超长文档的回退策略。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0508）该记录用于冲量，内容本身无实际含义，仅用于验证超长文档的回退策略。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0509）该记录用于冲量，内容本身无实际含义，仅用于验证超长文档的回退策略。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0510）该记录用于冲量，内容本身无实际含义，仅用于验证超长文档的回退策略。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0511）该记录用于冲量，内容本身无实际含义，仅用于验证超长文档的回退策略。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0512）该记录用于冲量，内容本身无实际含义，仅用于验证超长文档的回退策略。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0513）该记录用于冲量，内容本身无实际含义，仅用于验证超长文档的回退策略。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0514）该记录用于冲量，内容本身无实际含义，仅用于验证超长文档的回退策略。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0515）该记录用于冲量，内容本身无实际含义，仅用于验证超长文档的回退策略。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0516）该记录用于冲量，内容本身无实际含义，仅用于验证超长文档的回退策略。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0517）该记录用于冲量，内容本身无实际含义，仅用于验证超长文档的回退策略。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0518）该记录用于冲量，内容本身无实际含义，仅用于验证超长文档的回退策略。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0519）该记录用于冲量，内容本身无实际含义，仅用于验证超长文档的回退策略。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0520）该记录用于冲量，内容本身无实际含义，仅用于验证超长文档的回退策略。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0521）该记录用于冲量，内容本身无实际含义，仅用于验证超长文档的回退策略。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0522）该记录用于冲量，内容本身无实际含义，仅用于验证超长文档的回退策略。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0523）该记录用于冲量，内容本身无实际含义，仅用于验证超长文档的回退策略。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0524）该记录用于冲量，内容本身无实际含义，仅用于验证超长文档的回退策略。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0525）该记录用于冲量，内容本身无实际含义，仅用于验证超长文档的回退策略。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0526）该记录用于冲量，内容本身无实际含义，仅用于验证超长文档的回退策略。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0527）该记录用于冲量，内容本身无实际含义，仅用于验证超长文档的回退策略。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0528）该记录用于冲量，内容本身无实际含义，仅用于验证超长文档的回退策略。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0529）该记录用于冲量，内容本身无实际含义，仅用于验证超长文档的回退策略。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0530）该记录用于冲量，内容本身无实际含义，仅用于验证超长文档的回退策略。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0531）该记录用于冲量，内容本身无实际含义，仅用于验证超长文档的回退策略。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0532）该记录用于冲量，内容本身无实际含义，仅用于验证超长文档的回退策略。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0533）该记录用于冲量，内容本身无实际含义，仅用于验证超长文档的回退策略。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0534）该记录用于冲量，内容本身无实际含义，仅用于验证超长文档的回退策略。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0535）该记录用于冲量，内容本身无实际含义，仅用于验证超长文档的回退策略。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0536）该记录用于冲量，内容本身无实际含义，仅用于验证超长文档的回退策略。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0537）该记录用于冲量，内容本身无实际含义，仅用于验证超长文档的回退策略。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0538）该记录用于冲量，内容本身无实际含义，仅用于验证超长文档的回退策略。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0539）该记录用于冲量，内容本身无实际含义，仅用于验证超长文档的回退策略。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0540）该记录用于冲量，内容本身无实际含义，仅用于验证超长文档的回退策略。</w:t>
      </w:r>
    </w:p>
    <w:p>
      <w:pPr>
        <w:pStyle w:val="Heading1"/>
      </w:pPr>
      <w:r>
        <w:t>10. 成本优化分析</w:t>
      </w:r>
    </w:p>
    <w:p>
      <w:pPr>
        <w:pStyle w:val="Heading2"/>
      </w:pPr>
      <w:r>
        <w:t>10.1 资源利用率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0541）该记录用于冲量，内容本身无实际含义，仅用于验证超长文档的回退策略。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0542）该记录用于冲量，内容本身无实际含义，仅用于验证超长文档的回退策略。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0543）该记录用于冲量，内容本身无实际含义，仅用于验证超长文档的回退策略。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0544）该记录用于冲量，内容本身无实际含义，仅用于验证超长文档的回退策略。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0545）该记录用于冲量，内容本身无实际含义，仅用于验证超长文档的回退策略。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0546）该记录用于冲量，内容本身无实际含义，仅用于验证超长文档的回退策略。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0547）该记录用于冲量，内容本身无实际含义，仅用于验证超长文档的回退策略。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0548）该记录用于冲量，内容本身无实际含义，仅用于验证超长文档的回退策略。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0549）该记录用于冲量，内容本身无实际含义，仅用于验证超长文档的回退策略。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0550）该记录用于冲量，内容本身无实际含义，仅用于验证超长文档的回退策略。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0551）该记录用于冲量，内容本身无实际含义，仅用于验证超长文档的回退策略。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0552）该记录用于冲量，内容本身无实际含义，仅用于验证超长文档的回退策略。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0553）该记录用于冲量，内容本身无实际含义，仅用于验证超长文档的回退策略。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0554）该记录用于冲量，内容本身无实际含义，仅用于验证超长文档的回退策略。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0555）该记录用于冲量，内容本身无实际含义，仅用于验证超长文档的回退策略。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0556）该记录用于冲量，内容本身无实际含义，仅用于验证超长文档的回退策略。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0557）该记录用于冲量，内容本身无实际含义，仅用于验证超长文档的回退策略。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0558）该记录用于冲量，内容本身无实际含义，仅用于验证超长文档的回退策略。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0559）该记录用于冲量，内容本身无实际含义，仅用于验证超长文档的回退策略。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0560）该记录用于冲量，内容本身无实际含义，仅用于验证超长文档的回退策略。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0561）该记录用于冲量，内容本身无实际含义，仅用于验证超长文档的回退策略。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0562）该记录用于冲量，内容本身无实际含义，仅用于验证超长文档的回退策略。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0563）该记录用于冲量，内容本身无实际含义，仅用于验证超长文档的回退策略。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0564）该记录用于冲量，内容本身无实际含义，仅用于验证超长文档的回退策略。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0565）该记录用于冲量，内容本身无实际含义，仅用于验证超长文档的回退策略。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0566）该记录用于冲量，内容本身无实际含义，仅用于验证超长文档的回退策略。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0567）该记录用于冲量，内容本身无实际含义，仅用于验证超长文档的回退策略。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0568）该记录用于冲量，内容本身无实际含义，仅用于验证超长文档的回退策略。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0569）该记录用于冲量，内容本身无实际含义，仅用于验证超长文档的回退策略。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0570）该记录用于冲量，内容本身无实际含义，仅用于验证超长文档的回退策略。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0571）该记录用于冲量，内容本身无实际含义，仅用于验证超长文档的回退策略。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0572）该记录用于冲量，内容本身无实际含义，仅用于验证超长文档的回退策略。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0573）该记录用于冲量，内容本身无实际含义，仅用于验证超长文档的回退策略。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0574）该记录用于冲量，内容本身无实际含义，仅用于验证超长文档的回退策略。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0575）该记录用于冲量，内容本身无实际含义，仅用于验证超长文档的回退策略。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0576）该记录用于冲量，内容本身无实际含义，仅用于验证超长文档的回退策略。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0577）该记录用于冲量，内容本身无实际含义，仅用于验证超长文档的回退策略。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0578）该记录用于冲量，内容本身无实际含义，仅用于验证超长文档的回退策略。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0579）该记录用于冲量，内容本身无实际含义，仅用于验证超长文档的回退策略。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0580）该记录用于冲量，内容本身无实际含义，仅用于验证超长文档的回退策略。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0581）该记录用于冲量，内容本身无实际含义，仅用于验证超长文档的回退策略。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0582）该记录用于冲量，内容本身无实际含义，仅用于验证超长文档的回退策略。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0583）该记录用于冲量，内容本身无实际含义，仅用于验证超长文档的回退策略。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0584）该记录用于冲量，内容本身无实际含义，仅用于验证超长文档的回退策略。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0585）该记录用于冲量，内容本身无实际含义，仅用于验证超长文档的回退策略。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0586）该记录用于冲量，内容本身无实际含义，仅用于验证超长文档的回退策略。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0587）该记录用于冲量，内容本身无实际含义，仅用于验证超长文档的回退策略。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0588）该记录用于冲量，内容本身无实际含义，仅用于验证超长文档的回退策略。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0589）该记录用于冲量，内容本身无实际含义，仅用于验证超长文档的回退策略。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0590）该记录用于冲量，内容本身无实际含义，仅用于验证超长文档的回退策略。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0591）该记录用于冲量，内容本身无实际含义，仅用于验证超长文档的回退策略。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0592）该记录用于冲量，内容本身无实际含义，仅用于验证超长文档的回退策略。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0593）该记录用于冲量，内容本身无实际含义，仅用于验证超长文档的回退策略。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0594）该记录用于冲量，内容本身无实际含义，仅用于验证超长文档的回退策略。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0595）该记录用于冲量，内容本身无实际含义，仅用于验证超长文档的回退策略。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0596）该记录用于冲量，内容本身无实际含义，仅用于验证超长文档的回退策略。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0597）该记录用于冲量，内容本身无实际含义，仅用于验证超长文档的回退策略。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0598）该记录用于冲量，内容本身无实际含义，仅用于验证超长文档的回退策略。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0599）该记录用于冲量，内容本身无实际含义，仅用于验证超长文档的回退策略。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0600）该记录用于冲量，内容本身无实际含义，仅用于验证超长文档的回退策略。</w:t>
      </w:r>
    </w:p>
    <w:p>
      <w:pPr>
        <w:pStyle w:val="Heading1"/>
      </w:pPr>
      <w:r>
        <w:t>11. 团队协作规范</w:t>
      </w:r>
    </w:p>
    <w:p>
      <w:pPr>
        <w:pStyle w:val="Heading2"/>
      </w:pPr>
      <w:r>
        <w:t>11.1 评审与合并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0601）该记录用于冲量，内容本身无实际含义，仅用于验证超长文档的回退策略。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0602）该记录用于冲量，内容本身无实际含义，仅用于验证超长文档的回退策略。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0603）该记录用于冲量，内容本身无实际含义，仅用于验证超长文档的回退策略。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0604）该记录用于冲量，内容本身无实际含义，仅用于验证超长文档的回退策略。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0605）该记录用于冲量，内容本身无实际含义，仅用于验证超长文档的回退策略。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0606）该记录用于冲量，内容本身无实际含义，仅用于验证超长文档的回退策略。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0607）该记录用于冲量，内容本身无实际含义，仅用于验证超长文档的回退策略。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0608）该记录用于冲量，内容本身无实际含义，仅用于验证超长文档的回退策略。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0609）该记录用于冲量，内容本身无实际含义，仅用于验证超长文档的回退策略。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0610）该记录用于冲量，内容本身无实际含义，仅用于验证超长文档的回退策略。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0611）该记录用于冲量，内容本身无实际含义，仅用于验证超长文档的回退策略。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0612）该记录用于冲量，内容本身无实际含义，仅用于验证超长文档的回退策略。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0613）该记录用于冲量，内容本身无实际含义，仅用于验证超长文档的回退策略。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0614）该记录用于冲量，内容本身无实际含义，仅用于验证超长文档的回退策略。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0615）该记录用于冲量，内容本身无实际含义，仅用于验证超长文档的回退策略。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0616）该记录用于冲量，内容本身无实际含义，仅用于验证超长文档的回退策略。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0617）该记录用于冲量，内容本身无实际含义，仅用于验证超长文档的回退策略。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0618）该记录用于冲量，内容本身无实际含义，仅用于验证超长文档的回退策略。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0619）该记录用于冲量，内容本身无实际含义，仅用于验证超长文档的回退策略。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0620）该记录用于冲量，内容本身无实际含义，仅用于验证超长文档的回退策略。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0621）该记录用于冲量，内容本身无实际含义，仅用于验证超长文档的回退策略。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0622）该记录用于冲量，内容本身无实际含义，仅用于验证超长文档的回退策略。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0623）该记录用于冲量，内容本身无实际含义，仅用于验证超长文档的回退策略。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0624）该记录用于冲量，内容本身无实际含义，仅用于验证超长文档的回退策略。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0625）该记录用于冲量，内容本身无实际含义，仅用于验证超长文档的回退策略。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0626）该记录用于冲量，内容本身无实际含义，仅用于验证超长文档的回退策略。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0627）该记录用于冲量，内容本身无实际含义，仅用于验证超长文档的回退策略。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0628）该记录用于冲量，内容本身无实际含义，仅用于验证超长文档的回退策略。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0629）该记录用于冲量，内容本身无实际含义，仅用于验证超长文档的回退策略。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0630）该记录用于冲量，内容本身无实际含义，仅用于验证超长文档的回退策略。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0631）该记录用于冲量，内容本身无实际含义，仅用于验证超长文档的回退策略。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0632）该记录用于冲量，内容本身无实际含义，仅用于验证超长文档的回退策略。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0633）该记录用于冲量，内容本身无实际含义，仅用于验证超长文档的回退策略。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0634）该记录用于冲量，内容本身无实际含义，仅用于验证超长文档的回退策略。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0635）该记录用于冲量，内容本身无实际含义，仅用于验证超长文档的回退策略。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0636）该记录用于冲量，内容本身无实际含义，仅用于验证超长文档的回退策略。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0637）该记录用于冲量，内容本身无实际含义，仅用于验证超长文档的回退策略。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0638）该记录用于冲量，内容本身无实际含义，仅用于验证超长文档的回退策略。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0639）该记录用于冲量，内容本身无实际含义，仅用于验证超长文档的回退策略。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0640）该记录用于冲量，内容本身无实际含义，仅用于验证超长文档的回退策略。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0641）该记录用于冲量，内容本身无实际含义，仅用于验证超长文档的回退策略。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0642）该记录用于冲量，内容本身无实际含义，仅用于验证超长文档的回退策略。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0643）该记录用于冲量，内容本身无实际含义，仅用于验证超长文档的回退策略。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0644）该记录用于冲量，内容本身无实际含义，仅用于验证超长文档的回退策略。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0645）该记录用于冲量，内容本身无实际含义，仅用于验证超长文档的回退策略。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0646）该记录用于冲量，内容本身无实际含义，仅用于验证超长文档的回退策略。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0647）该记录用于冲量，内容本身无实际含义，仅用于验证超长文档的回退策略。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0648）该记录用于冲量，内容本身无实际含义，仅用于验证超长文档的回退策略。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0649）该记录用于冲量，内容本身无实际含义，仅用于验证超长文档的回退策略。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0650）该记录用于冲量，内容本身无实际含义，仅用于验证超长文档的回退策略。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0651）该记录用于冲量，内容本身无实际含义，仅用于验证超长文档的回退策略。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0652）该记录用于冲量，内容本身无实际含义，仅用于验证超长文档的回退策略。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0653）该记录用于冲量，内容本身无实际含义，仅用于验证超长文档的回退策略。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0654）该记录用于冲量，内容本身无实际含义，仅用于验证超长文档的回退策略。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0655）该记录用于冲量，内容本身无实际含义，仅用于验证超长文档的回退策略。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0656）该记录用于冲量，内容本身无实际含义，仅用于验证超长文档的回退策略。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0657）该记录用于冲量，内容本身无实际含义，仅用于验证超长文档的回退策略。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0658）该记录用于冲量，内容本身无实际含义，仅用于验证超长文档的回退策略。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0659）该记录用于冲量，内容本身无实际含义，仅用于验证超长文档的回退策略。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0660）该记录用于冲量，内容本身无实际含义，仅用于验证超长文档的回退策略。</w:t>
      </w:r>
    </w:p>
    <w:p>
      <w:pPr>
        <w:pStyle w:val="Heading1"/>
      </w:pPr>
      <w:r>
        <w:t>12. 发布检查清单</w:t>
      </w:r>
    </w:p>
    <w:p>
      <w:pPr>
        <w:pStyle w:val="Heading2"/>
      </w:pPr>
      <w:r>
        <w:t>12.1 上线前核对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0661）该记录用于冲量，内容本身无实际含义，仅用于验证超长文档的回退策略。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0662）该记录用于冲量，内容本身无实际含义，仅用于验证超长文档的回退策略。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0663）该记录用于冲量，内容本身无实际含义，仅用于验证超长文档的回退策略。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0664）该记录用于冲量，内容本身无实际含义，仅用于验证超长文档的回退策略。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0665）该记录用于冲量，内容本身无实际含义，仅用于验证超长文档的回退策略。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0666）该记录用于冲量，内容本身无实际含义，仅用于验证超长文档的回退策略。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0667）该记录用于冲量，内容本身无实际含义，仅用于验证超长文档的回退策略。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0668）该记录用于冲量，内容本身无实际含义，仅用于验证超长文档的回退策略。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0669）该记录用于冲量，内容本身无实际含义，仅用于验证超长文档的回退策略。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0670）该记录用于冲量，内容本身无实际含义，仅用于验证超长文档的回退策略。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0671）该记录用于冲量，内容本身无实际含义，仅用于验证超长文档的回退策略。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0672）该记录用于冲量，内容本身无实际含义，仅用于验证超长文档的回退策略。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0673）该记录用于冲量，内容本身无实际含义，仅用于验证超长文档的回退策略。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0674）该记录用于冲量，内容本身无实际含义，仅用于验证超长文档的回退策略。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0675）该记录用于冲量，内容本身无实际含义，仅用于验证超长文档的回退策略。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0676）该记录用于冲量，内容本身无实际含义，仅用于验证超长文档的回退策略。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0677）该记录用于冲量，内容本身无实际含义，仅用于验证超长文档的回退策略。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0678）该记录用于冲量，内容本身无实际含义，仅用于验证超长文档的回退策略。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0679）该记录用于冲量，内容本身无实际含义，仅用于验证超长文档的回退策略。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0680）该记录用于冲量，内容本身无实际含义，仅用于验证超长文档的回退策略。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0681）该记录用于冲量，内容本身无实际含义，仅用于验证超长文档的回退策略。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0682）该记录用于冲量，内容本身无实际含义，仅用于验证超长文档的回退策略。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0683）该记录用于冲量，内容本身无实际含义，仅用于验证超长文档的回退策略。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0684）该记录用于冲量，内容本身无实际含义，仅用于验证超长文档的回退策略。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0685）该记录用于冲量，内容本身无实际含义，仅用于验证超长文档的回退策略。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0686）该记录用于冲量，内容本身无实际含义，仅用于验证超长文档的回退策略。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0687）该记录用于冲量，内容本身无实际含义，仅用于验证超长文档的回退策略。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0688）该记录用于冲量，内容本身无实际含义，仅用于验证超长文档的回退策略。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0689）该记录用于冲量，内容本身无实际含义，仅用于验证超长文档的回退策略。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0690）该记录用于冲量，内容本身无实际含义，仅用于验证超长文档的回退策略。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0691）该记录用于冲量，内容本身无实际含义，仅用于验证超长文档的回退策略。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0692）该记录用于冲量，内容本身无实际含义，仅用于验证超长文档的回退策略。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0693）该记录用于冲量，内容本身无实际含义，仅用于验证超长文档的回退策略。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0694）该记录用于冲量，内容本身无实际含义，仅用于验证超长文档的回退策略。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0695）该记录用于冲量，内容本身无实际含义，仅用于验证超长文档的回退策略。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0696）该记录用于冲量，内容本身无实际含义，仅用于验证超长文档的回退策略。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0697）该记录用于冲量，内容本身无实际含义，仅用于验证超长文档的回退策略。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0698）该记录用于冲量，内容本身无实际含义，仅用于验证超长文档的回退策略。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0699）该记录用于冲量，内容本身无实际含义，仅用于验证超长文档的回退策略。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0700）该记录用于冲量，内容本身无实际含义，仅用于验证超长文档的回退策略。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0701）该记录用于冲量，内容本身无实际含义，仅用于验证超长文档的回退策略。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0702）该记录用于冲量，内容本身无实际含义，仅用于验证超长文档的回退策略。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0703）该记录用于冲量，内容本身无实际含义，仅用于验证超长文档的回退策略。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0704）该记录用于冲量，内容本身无实际含义，仅用于验证超长文档的回退策略。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0705）该记录用于冲量，内容本身无实际含义，仅用于验证超长文档的回退策略。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0706）该记录用于冲量，内容本身无实际含义，仅用于验证超长文档的回退策略。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0707）该记录用于冲量，内容本身无实际含义，仅用于验证超长文档的回退策略。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0708）该记录用于冲量，内容本身无实际含义，仅用于验证超长文档的回退策略。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0709）该记录用于冲量，内容本身无实际含义，仅用于验证超长文档的回退策略。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0710）该记录用于冲量，内容本身无实际含义，仅用于验证超长文档的回退策略。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0711）该记录用于冲量，内容本身无实际含义，仅用于验证超长文档的回退策略。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0712）该记录用于冲量，内容本身无实际含义，仅用于验证超长文档的回退策略。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0713）该记录用于冲量，内容本身无实际含义，仅用于验证超长文档的回退策略。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0714）该记录用于冲量，内容本身无实际含义，仅用于验证超长文档的回退策略。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0715）该记录用于冲量，内容本身无实际含义，仅用于验证超长文档的回退策略。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0716）该记录用于冲量，内容本身无实际含义，仅用于验证超长文档的回退策略。</w:t>
      </w:r>
    </w:p>
    <w:p>
      <w:r>
        <w:t>本次评估覆盖核心链路的主要指标，采样周期为连续七个自然日，统计口径与前次保持一致，异常样本已在报告中单独标注。按当前增长曲线外推，主存储容量将在两个季度内达到上限，建议提前启动分片扩容评估，并把冷数据归档纳入例行任务。（编号 0717）该记录用于冲量，内容本身无实际含义，仅用于验证超长文档的回退策略。</w:t>
      </w:r>
    </w:p>
    <w:p>
      <w:r>
        <w:t>按当前增长曲线外推，主存储容量将在两个季度内达到上限，建议提前启动分片扩容评估，并把冷数据归档纳入例行任务。灰度批次之间保留至少四十八小时观察窗口，任一批次出现关键告警即暂停推进并按预案回滚，回滚演练已在预发环境完成。（编号 0718）该记录用于冲量，内容本身无实际含义，仅用于验证超长文档的回退策略。</w:t>
      </w:r>
    </w:p>
    <w:p>
      <w:r>
        <w:t>灰度批次之间保留至少四十八小时观察窗口，任一批次出现关键告警即暂停推进并按预案回滚，回滚演练已在预发环境完成。审计共发现若干待整改项，其中高危项已当场修复，其余事项均排入下个迭代，责任人明确、期限明确。（编号 0719）该记录用于冲量，内容本身无实际含义，仅用于验证超长文档的回退策略。</w:t>
      </w:r>
    </w:p>
    <w:p>
      <w:r>
        <w:t>审计共发现若干待整改项，其中高危项已当场修复，其余事项均排入下个迭代，责任人明确、期限明确。本次评估覆盖核心链路的主要指标，采样周期为连续七个自然日，统计口径与前次保持一致，异常样本已在报告中单独标注。（编号 0720）该记录用于冲量，内容本身无实际含义，仅用于验证超长文档的回退策略。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