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OLE_LINK4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</w:rPr>
        <w:t>TableFormer: Table Structure Understanding with Transformers</w:t>
      </w:r>
      <w:bookmarkEnd w:id="0"/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(cvpr 2022)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这篇论文来自IBM，与平安的TableMaster模型有着相似的idea。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文中提出重要的2种改进用于端到端的识别。首先，引入了一种新的table-cell对象检测解码器。这样，就可以直接从程序化的PDF源中获取表格单元格的内容，避免了自定义OCR解码器的训练。这种架构上的改变可以更准确的提取表格内容，并可以处理非英语表；其次，用基于transformer的解码器替换LSTM解码器。这提高了树编辑距离分数(TEDS)，在简单表上从91%提高到98.5%，在复杂表上从88.7%提高到95%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文中构建了一个名为TableFormer的新模型和一个合成的生成表格结构的数据集SynthTabNet。本文主要贡献如下：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提出了TableFormer模型，这是一种基于transformer的模型，它以端到端的方式同时预测表格结构和表内容的边界框。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提出了一个合成生成的数据集SynthTabNet，具有各种不同外观样式和复杂性。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方法概述</w:t>
      </w:r>
    </w:p>
    <w:p>
      <w:pPr>
        <w:numPr>
          <w:numId w:val="0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5830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输入一张表格的图片，TableFormer能够预测：1)表格结构序列token；2)单元格边框。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方法组件</w:t>
      </w:r>
    </w:p>
    <w:p>
      <w:pPr>
        <w:numPr>
          <w:numId w:val="0"/>
        </w:numPr>
      </w:pPr>
      <w:r>
        <w:drawing>
          <wp:inline distT="0" distB="0" distL="114300" distR="114300">
            <wp:extent cx="3819525" cy="677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模型主要由3个部分组成：编码器CNN Backbone将输入图片编码成预定义长度的特征向量；特征向量输入到</w:t>
      </w:r>
      <w:bookmarkStart w:id="1" w:name="OLE_LINK2"/>
      <w:r>
        <w:rPr>
          <w:rFonts w:hint="eastAsia"/>
          <w:sz w:val="24"/>
          <w:szCs w:val="24"/>
          <w:lang w:val="en-US" w:eastAsia="zh-CN"/>
        </w:rPr>
        <w:t>结构解码器(Structure Decoder)</w:t>
      </w:r>
      <w:bookmarkEnd w:id="1"/>
      <w:r>
        <w:rPr>
          <w:rFonts w:hint="eastAsia"/>
          <w:sz w:val="24"/>
          <w:szCs w:val="24"/>
          <w:lang w:val="en-US" w:eastAsia="zh-CN"/>
        </w:rPr>
        <w:t>，产生表示表格结构的HTML标签序列；</w:t>
      </w:r>
      <w:r>
        <w:rPr>
          <w:rFonts w:hint="eastAsia"/>
          <w:sz w:val="24"/>
          <w:szCs w:val="24"/>
          <w:lang w:val="en-US" w:eastAsia="zh-CN"/>
        </w:rPr>
        <w:t>对于HTML标准数据单元格(' &lt;td&gt; ')的每次预测，该单元格的隐状态被传递给</w:t>
      </w:r>
      <w:bookmarkStart w:id="2" w:name="OLE_LINK1"/>
      <w:r>
        <w:rPr>
          <w:rFonts w:hint="eastAsia"/>
          <w:sz w:val="24"/>
          <w:szCs w:val="24"/>
          <w:lang w:val="en-US" w:eastAsia="zh-CN"/>
        </w:rPr>
        <w:t>单元格边框解码器(Cell BBox Decoder)</w:t>
      </w:r>
      <w:bookmarkEnd w:id="2"/>
      <w:r>
        <w:rPr>
          <w:rFonts w:hint="eastAsia"/>
          <w:sz w:val="24"/>
          <w:szCs w:val="24"/>
          <w:lang w:val="en-US" w:eastAsia="zh-CN"/>
        </w:rPr>
        <w:t>。针对跨单元格形式，例如跨行或者跨列，标签被分解为'&lt;'，'rowspan='或'colspan='，带有跨单元格的数量（属性），和'&gt;'。附加到“&lt;”的隐状态传递给单元格边框解码器(Cell BBox Decoder)。一个共享前馈网络（FFN）从结构解码器(Structure Decoder)接收隐状态，去预测边界框的坐标及其分类。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CNN Backbone 网络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TableFormer使用Resnet-18(移除了线性层和池化层，增加了大小为2828的自适应池化层)作为CNN Backbone网络。输入图像的大小为448×448像素，并且feature map的尺寸为28×28。此外，执行以下输入限制: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(1).图像的宽和高 &lt;= 1024像素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(2).结构标签长度 &lt;= 512个token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这部分的编码特征会输入到结构解码器和单元格边框解码器中。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结构解码器(Structure Decoder)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这部分有2层</w:t>
      </w:r>
      <w:bookmarkStart w:id="3" w:name="OLE_LINK3"/>
      <w:r>
        <w:rPr>
          <w:rFonts w:hint="eastAsia"/>
          <w:sz w:val="24"/>
          <w:szCs w:val="24"/>
          <w:lang w:val="en-US" w:eastAsia="zh-CN"/>
        </w:rPr>
        <w:t>transformer</w:t>
      </w:r>
      <w:bookmarkEnd w:id="3"/>
      <w:r>
        <w:rPr>
          <w:rFonts w:hint="eastAsia"/>
          <w:sz w:val="24"/>
          <w:szCs w:val="24"/>
          <w:lang w:val="en-US" w:eastAsia="zh-CN"/>
        </w:rPr>
        <w:t>编码器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；4层transformer解码器，后接一个线性层和一个softmax层。(</w:t>
      </w:r>
      <w:r>
        <w:rPr>
          <w:rFonts w:hint="default"/>
          <w:sz w:val="24"/>
          <w:szCs w:val="24"/>
          <w:lang w:val="en-US" w:eastAsia="zh-CN"/>
        </w:rPr>
        <w:t>输入特征大小为512，前馈网络大小为1024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4个注意</w:t>
      </w:r>
      <w:r>
        <w:rPr>
          <w:rFonts w:hint="eastAsia"/>
          <w:sz w:val="24"/>
          <w:szCs w:val="24"/>
          <w:lang w:val="en-US" w:eastAsia="zh-CN"/>
        </w:rPr>
        <w:t>力</w:t>
      </w:r>
      <w:r>
        <w:rPr>
          <w:rFonts w:hint="default"/>
          <w:sz w:val="24"/>
          <w:szCs w:val="24"/>
          <w:lang w:val="en-US" w:eastAsia="zh-CN"/>
        </w:rPr>
        <w:t>头</w:t>
      </w:r>
      <w:r>
        <w:rPr>
          <w:rFonts w:hint="eastAsia"/>
          <w:sz w:val="24"/>
          <w:szCs w:val="24"/>
          <w:lang w:val="en-US" w:eastAsia="zh-CN"/>
        </w:rPr>
        <w:t>)。CNN backbone的输出会输入到transformer编码器中，而transformer编码器的输出会输入到transformer解码器中。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单元格边框解码器(Cell BBox Decoder)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由CNN backbone生成的编码以及来自transformer解码器的每个数据单元所获得的特征</w:t>
      </w:r>
      <w:r>
        <w:rPr>
          <w:rFonts w:hint="default"/>
          <w:sz w:val="24"/>
          <w:szCs w:val="24"/>
          <w:lang w:val="en-US" w:eastAsia="zh-CN"/>
        </w:rPr>
        <w:t>传递给注意</w:t>
      </w:r>
      <w:r>
        <w:rPr>
          <w:rFonts w:hint="eastAsia"/>
          <w:sz w:val="24"/>
          <w:szCs w:val="24"/>
          <w:lang w:val="en-US" w:eastAsia="zh-CN"/>
        </w:rPr>
        <w:t>力</w:t>
      </w:r>
      <w:r>
        <w:rPr>
          <w:rFonts w:hint="default"/>
          <w:sz w:val="24"/>
          <w:szCs w:val="24"/>
          <w:lang w:val="en-US" w:eastAsia="zh-CN"/>
        </w:rPr>
        <w:t>网络。</w:t>
      </w:r>
      <w:r>
        <w:rPr>
          <w:rFonts w:hint="eastAsia"/>
          <w:sz w:val="24"/>
          <w:szCs w:val="24"/>
          <w:lang w:val="en-US" w:eastAsia="zh-CN"/>
        </w:rPr>
        <w:t>注意力网络接受两个输入并学习提供一个注意力权重编码。这个注意力权重编码与编码后的图像相乘，为每个表格单元格产生一个特征。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然后将每个表格单元格的输出特征输入前馈网络(FFN)。FFN由多层感知机(3层，带有ReLU激活函数)组成，该感知机预测每个表格单元格的边界框的归一化坐标。最后利用一个线性层对边界进行分类，预测其是否为空。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Fonts w:hint="default"/>
          <w:sz w:val="24"/>
          <w:szCs w:val="24"/>
          <w:lang w:val="en-US" w:eastAsia="zh-CN"/>
        </w:rPr>
      </w:pPr>
      <w:bookmarkStart w:id="4" w:name="OLE_LINK5"/>
      <w:r>
        <w:rPr>
          <w:rFonts w:hint="eastAsia"/>
          <w:sz w:val="24"/>
          <w:szCs w:val="24"/>
          <w:lang w:val="en-US" w:eastAsia="zh-CN"/>
        </w:rPr>
        <w:t>损失函数</w:t>
      </w:r>
    </w:p>
    <w:bookmarkEnd w:id="4"/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</w:pPr>
      <w:r>
        <w:drawing>
          <wp:inline distT="0" distB="0" distL="114300" distR="114300">
            <wp:extent cx="18573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ascii="CMMI10" w:hAnsi="CMMI10" w:eastAsia="CMMI10" w:cs="CMMI10"/>
          <w:b w:val="0"/>
          <w:bCs w:val="0"/>
          <w:i w:val="0"/>
          <w:iCs w:val="0"/>
          <w:color w:val="000000"/>
          <w:sz w:val="20"/>
          <w:szCs w:val="20"/>
        </w:rPr>
        <w:t>l</w:t>
      </w:r>
      <w:r>
        <w:rPr>
          <w:rStyle w:val="6"/>
        </w:rPr>
        <w:t>s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是交叉熵损失，用于结构解码器(structure decoder)训练；</w:t>
      </w:r>
      <w:r>
        <w:rPr>
          <w:rFonts w:ascii="CMMI10" w:hAnsi="CMMI10" w:eastAsia="CMMI10" w:cs="CMMI10"/>
          <w:b w:val="0"/>
          <w:bCs w:val="0"/>
          <w:i w:val="0"/>
          <w:iCs w:val="0"/>
          <w:color w:val="000000"/>
          <w:sz w:val="20"/>
          <w:szCs w:val="20"/>
        </w:rPr>
        <w:t>l</w:t>
      </w:r>
      <w:r>
        <w:rPr>
          <w:rFonts w:ascii="CMMI7" w:hAnsi="CMMI7" w:eastAsia="CMMI7" w:cs="CMMI7"/>
          <w:b w:val="0"/>
          <w:bCs w:val="0"/>
          <w:i w:val="0"/>
          <w:iCs w:val="0"/>
          <w:color w:val="000000"/>
          <w:sz w:val="14"/>
          <w:szCs w:val="14"/>
        </w:rPr>
        <w:t>box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ascii="CMMI10" w:hAnsi="CMMI10" w:eastAsia="CMMI10" w:cs="CMMI10"/>
          <w:b w:val="0"/>
          <w:bCs w:val="0"/>
          <w:i w:val="0"/>
          <w:iCs w:val="0"/>
          <w:color w:val="000000"/>
          <w:sz w:val="20"/>
          <w:szCs w:val="20"/>
        </w:rPr>
        <w:t>l</w:t>
      </w:r>
      <w:r>
        <w:rPr>
          <w:rFonts w:ascii="CMR7" w:hAnsi="CMR7" w:eastAsia="CMR7" w:cs="CMR7"/>
          <w:b w:val="0"/>
          <w:bCs w:val="0"/>
          <w:i w:val="0"/>
          <w:iCs w:val="0"/>
          <w:color w:val="000000"/>
          <w:sz w:val="14"/>
          <w:szCs w:val="14"/>
        </w:rPr>
        <w:t>1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损失，用于边框解码器(cell bbox decoder)训练。</w:t>
      </w:r>
      <w:r>
        <w:rPr>
          <w:rFonts w:ascii="宋体" w:hAnsi="宋体" w:eastAsia="宋体" w:cs="宋体"/>
          <w:sz w:val="24"/>
          <w:szCs w:val="24"/>
        </w:rPr>
        <w:t>λ</w:t>
      </w:r>
      <w:r>
        <w:rPr>
          <w:rFonts w:hint="eastAsia"/>
          <w:lang w:val="en-US" w:eastAsia="zh-CN"/>
        </w:rPr>
        <w:t xml:space="preserve">∈ [0, 1], and </w:t>
      </w:r>
      <w:r>
        <w:rPr>
          <w:rFonts w:ascii="宋体" w:hAnsi="宋体" w:eastAsia="宋体" w:cs="宋体"/>
          <w:sz w:val="24"/>
          <w:szCs w:val="24"/>
        </w:rPr>
        <w:t>λ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iou</w:t>
      </w:r>
      <w:r>
        <w:rPr>
          <w:rFonts w:hint="eastAsia"/>
          <w:lang w:val="en-US" w:eastAsia="zh-CN"/>
        </w:rPr>
        <w:t xml:space="preserve">, </w:t>
      </w:r>
      <w:r>
        <w:rPr>
          <w:rFonts w:ascii="宋体" w:hAnsi="宋体" w:eastAsia="宋体" w:cs="宋体"/>
          <w:sz w:val="24"/>
          <w:szCs w:val="24"/>
        </w:rPr>
        <w:t>λ</w:t>
      </w:r>
      <w:r>
        <w:rPr>
          <w:rFonts w:hint="default" w:asciiTheme="minorAscii" w:hAnsiTheme="minorAscii" w:eastAsiaTheme="minorEastAsia"/>
          <w:sz w:val="24"/>
          <w:vertAlign w:val="subscript"/>
          <w:lang w:val="en-US" w:eastAsia="zh-CN"/>
        </w:rPr>
        <w:t>l1</w:t>
      </w:r>
      <w:r>
        <w:rPr>
          <w:rFonts w:hint="eastAsia"/>
          <w:lang w:val="en-US" w:eastAsia="zh-CN"/>
        </w:rPr>
        <w:t xml:space="preserve"> ∈ R ，为超参数。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后处理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.获取最小网格维度——预测表格结构的行数和列数。这代表底层表格结构的最细粒度网格。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在PDF单元格的边界框和预测单元格之间生成成对匹配。使用交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并比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(Intersection Over Union, IOU)来评估匹配的质量。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使用精心选择的IOU阈值将匹配指定为“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good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”匹配和“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bad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”匹配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(3a).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如果列中的所有IOU分数低于阈值，则丢弃该列的所有预测(结构和边界框)。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eastAsia" w:ascii="宋体" w:hAnsi="宋体" w:eastAsia="宋体" w:cs="宋体"/>
          <w:color w:val="2A2B2E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为每列具有良好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(good)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IOU的预测单元格找到最合适的内容对齐方式。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列的对齐可以用</w:t>
      </w:r>
      <w:bookmarkEnd w:id="5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下面的公式来确定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</w:pPr>
      <w:r>
        <w:drawing>
          <wp:inline distT="0" distB="0" distL="114300" distR="114300">
            <wp:extent cx="1581150" cy="619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其中c是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{left, centroid, right}其中之一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vertAlign w:val="subscript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是对应点的x坐标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使用步骤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中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的对齐计算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，计算所有表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列x坐标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的中值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和所有表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单元格的中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大小。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在计算过程中使用中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，有助于消除由于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偶尔出现的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通常比正常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的更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宽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列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而引起的异常值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将所有具有坏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的(bad)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IOU的单元格捕捉到相应的中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x坐标和单元格大小。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在修正的边界框和PDF单元格之间生成一组新的成对匹配。这次使用IOU的修改版本，其中预测单元格和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被PDF单元格面积所分割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单元格之间的交叉区域。如果同一PDF单元格有多个匹配，则优先选择得分较高的预测。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这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涵盖了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PDF单元格小于预测或修正的预测单元格面积的情况。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在一些罕见的情况下，我们注意到TableFormer可以将单个列混淆为两个列。当应用后处理步骤时，结果是两个预测列指向同一个PDF列。在这种情况下，我们必须根据最高的总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列交集分数去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重复列。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在应用了所有先前的后处理步骤之后，有些PDF单元格可能仍然与预测的单元格没有任何匹配。但是，仍然可以通过将孤立PDF单元格的边界框映射到网格的几何形状来推断其正确匹配。该映射决定是将孤立单元格的内容附加到已经匹配的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单元格中，还是应该创建一个新的表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单元格来与孤立单元格匹配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(9a).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计算每个网格行的水平带的上下边界(每行的最小/最大y坐标)。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bookmarkStart w:id="6" w:name="OLE_LINK7"/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(9b).</w:t>
      </w:r>
      <w:bookmarkEnd w:id="6"/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将孤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的边界框与行带相交，并将单元格映射到最近的网格行。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(9c).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计算每个网格列的垂直带的左右边界(每列的最小/最大x坐标)。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(9d).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将孤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的边界框与列带相交，并将单元格映射到最近的网格列。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(9e).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如果标识行和列下的表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单元格不为空，则使用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孤立单元格的内容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扩展其内容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color w:val="2A2B2E"/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(9f).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否则，创建一个新的结构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单元格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，并将其与孤立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单元格</w:t>
      </w:r>
      <w:r>
        <w:rPr>
          <w:rFonts w:hint="eastAsia" w:ascii="宋体" w:hAnsi="宋体" w:eastAsia="宋体" w:cs="宋体"/>
          <w:i w:val="0"/>
          <w:iCs w:val="0"/>
          <w:caps w:val="0"/>
          <w:color w:val="2A2B2E"/>
          <w:spacing w:val="0"/>
          <w:sz w:val="24"/>
          <w:szCs w:val="24"/>
          <w:bdr w:val="none" w:color="auto" w:sz="0" w:space="0"/>
          <w:shd w:val="clear" w:fill="FFFFFF"/>
        </w:rPr>
        <w:t>相匹配。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  <w:bookmarkStart w:id="7" w:name="_GoBack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Chars="0" w:right="0" w:rightChars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right="0" w:rightChars="0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BM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72454"/>
    <w:multiLevelType w:val="singleLevel"/>
    <w:tmpl w:val="8AA72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0B5F06"/>
    <w:multiLevelType w:val="singleLevel"/>
    <w:tmpl w:val="0B0B5F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EBD5C73"/>
    <w:multiLevelType w:val="singleLevel"/>
    <w:tmpl w:val="4EBD5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A05806"/>
    <w:multiLevelType w:val="singleLevel"/>
    <w:tmpl w:val="55A0580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60A3369E"/>
    <w:rsid w:val="00E7759D"/>
    <w:rsid w:val="01F33470"/>
    <w:rsid w:val="02502671"/>
    <w:rsid w:val="03247659"/>
    <w:rsid w:val="04041965"/>
    <w:rsid w:val="05793C8D"/>
    <w:rsid w:val="05AF6709"/>
    <w:rsid w:val="05F257ED"/>
    <w:rsid w:val="06400C4E"/>
    <w:rsid w:val="06982838"/>
    <w:rsid w:val="06A50AB1"/>
    <w:rsid w:val="08E3064A"/>
    <w:rsid w:val="0A02431C"/>
    <w:rsid w:val="0AB85257"/>
    <w:rsid w:val="0AE0030A"/>
    <w:rsid w:val="0B1526A9"/>
    <w:rsid w:val="0CDD2D53"/>
    <w:rsid w:val="0D061D8E"/>
    <w:rsid w:val="0D31309F"/>
    <w:rsid w:val="0DA70BD5"/>
    <w:rsid w:val="0F1E7653"/>
    <w:rsid w:val="0F4277E5"/>
    <w:rsid w:val="0F7A2A93"/>
    <w:rsid w:val="0F841BAC"/>
    <w:rsid w:val="0FB02359"/>
    <w:rsid w:val="10DB3A4D"/>
    <w:rsid w:val="119B4F8B"/>
    <w:rsid w:val="11D5049D"/>
    <w:rsid w:val="124318AA"/>
    <w:rsid w:val="126857B5"/>
    <w:rsid w:val="13394A5B"/>
    <w:rsid w:val="14F25809"/>
    <w:rsid w:val="158C17BA"/>
    <w:rsid w:val="16BC1C2B"/>
    <w:rsid w:val="17BD20FF"/>
    <w:rsid w:val="17E92EF4"/>
    <w:rsid w:val="18115FA7"/>
    <w:rsid w:val="18E611E1"/>
    <w:rsid w:val="19235F91"/>
    <w:rsid w:val="197B5DCD"/>
    <w:rsid w:val="1AB772D9"/>
    <w:rsid w:val="1C7536B0"/>
    <w:rsid w:val="1C7F3E27"/>
    <w:rsid w:val="1CB60492"/>
    <w:rsid w:val="1D1D719C"/>
    <w:rsid w:val="1D306ECF"/>
    <w:rsid w:val="1DD237B3"/>
    <w:rsid w:val="1EBB6C6C"/>
    <w:rsid w:val="20216FA3"/>
    <w:rsid w:val="21463165"/>
    <w:rsid w:val="22B365D8"/>
    <w:rsid w:val="23533917"/>
    <w:rsid w:val="240370EB"/>
    <w:rsid w:val="24247062"/>
    <w:rsid w:val="26551754"/>
    <w:rsid w:val="26FB67A0"/>
    <w:rsid w:val="27007912"/>
    <w:rsid w:val="279D33B3"/>
    <w:rsid w:val="28CE7AE8"/>
    <w:rsid w:val="296C74E1"/>
    <w:rsid w:val="29CA6261"/>
    <w:rsid w:val="29FA4AED"/>
    <w:rsid w:val="2A64640A"/>
    <w:rsid w:val="2B85488A"/>
    <w:rsid w:val="2D23435A"/>
    <w:rsid w:val="2D265BF9"/>
    <w:rsid w:val="2DFE0923"/>
    <w:rsid w:val="30901D07"/>
    <w:rsid w:val="317F73CE"/>
    <w:rsid w:val="31BC6B2B"/>
    <w:rsid w:val="345D2848"/>
    <w:rsid w:val="36C50230"/>
    <w:rsid w:val="37991DE9"/>
    <w:rsid w:val="37F039D3"/>
    <w:rsid w:val="382A2A41"/>
    <w:rsid w:val="39495149"/>
    <w:rsid w:val="3A15327D"/>
    <w:rsid w:val="3A6D4E67"/>
    <w:rsid w:val="3AB64A60"/>
    <w:rsid w:val="3B1E3AAC"/>
    <w:rsid w:val="3B9130CB"/>
    <w:rsid w:val="3C1E70F8"/>
    <w:rsid w:val="3CE27D8E"/>
    <w:rsid w:val="3E576115"/>
    <w:rsid w:val="3F3643C1"/>
    <w:rsid w:val="3FC03C8B"/>
    <w:rsid w:val="3FFD0A3B"/>
    <w:rsid w:val="42010CB6"/>
    <w:rsid w:val="420460B1"/>
    <w:rsid w:val="42AB29D0"/>
    <w:rsid w:val="43EA7528"/>
    <w:rsid w:val="44DC1567"/>
    <w:rsid w:val="44EE4DF6"/>
    <w:rsid w:val="451E392D"/>
    <w:rsid w:val="458F46CB"/>
    <w:rsid w:val="46F500BA"/>
    <w:rsid w:val="477E06B3"/>
    <w:rsid w:val="47EF15B1"/>
    <w:rsid w:val="48AE45B0"/>
    <w:rsid w:val="4924528A"/>
    <w:rsid w:val="49A63EF1"/>
    <w:rsid w:val="4B555BCF"/>
    <w:rsid w:val="4D926C66"/>
    <w:rsid w:val="4DAE15C6"/>
    <w:rsid w:val="4E3C35CB"/>
    <w:rsid w:val="4E8642F1"/>
    <w:rsid w:val="4F846A83"/>
    <w:rsid w:val="4F894099"/>
    <w:rsid w:val="4FA80752"/>
    <w:rsid w:val="50901457"/>
    <w:rsid w:val="519805C3"/>
    <w:rsid w:val="51A67184"/>
    <w:rsid w:val="520619D1"/>
    <w:rsid w:val="53852DC9"/>
    <w:rsid w:val="541F321E"/>
    <w:rsid w:val="56821842"/>
    <w:rsid w:val="56BF65F2"/>
    <w:rsid w:val="57E207EA"/>
    <w:rsid w:val="580E15DF"/>
    <w:rsid w:val="58E16CF4"/>
    <w:rsid w:val="59F20A8D"/>
    <w:rsid w:val="59FB5B93"/>
    <w:rsid w:val="5A904A8D"/>
    <w:rsid w:val="5BA43C07"/>
    <w:rsid w:val="5C3929A3"/>
    <w:rsid w:val="5C5872CD"/>
    <w:rsid w:val="5C91458D"/>
    <w:rsid w:val="5CBD1EE6"/>
    <w:rsid w:val="5CEE5E83"/>
    <w:rsid w:val="5DC42740"/>
    <w:rsid w:val="5E6A32E8"/>
    <w:rsid w:val="60990498"/>
    <w:rsid w:val="60A3369E"/>
    <w:rsid w:val="60C211B9"/>
    <w:rsid w:val="61183610"/>
    <w:rsid w:val="617701F5"/>
    <w:rsid w:val="62662018"/>
    <w:rsid w:val="62C92CD3"/>
    <w:rsid w:val="62CC631F"/>
    <w:rsid w:val="62E53885"/>
    <w:rsid w:val="63D11D80"/>
    <w:rsid w:val="643E4FFA"/>
    <w:rsid w:val="64D12312"/>
    <w:rsid w:val="651D10B4"/>
    <w:rsid w:val="65240694"/>
    <w:rsid w:val="6530528B"/>
    <w:rsid w:val="6554084E"/>
    <w:rsid w:val="656A35DD"/>
    <w:rsid w:val="657333CA"/>
    <w:rsid w:val="65CB0B10"/>
    <w:rsid w:val="67C1666E"/>
    <w:rsid w:val="67E934CF"/>
    <w:rsid w:val="695B21AB"/>
    <w:rsid w:val="698C6808"/>
    <w:rsid w:val="6AD246EE"/>
    <w:rsid w:val="6C586E75"/>
    <w:rsid w:val="6CAB497D"/>
    <w:rsid w:val="6CE97031"/>
    <w:rsid w:val="6D920165"/>
    <w:rsid w:val="6DD94899"/>
    <w:rsid w:val="70DF1913"/>
    <w:rsid w:val="711710AD"/>
    <w:rsid w:val="712612F0"/>
    <w:rsid w:val="71467BE4"/>
    <w:rsid w:val="714D6E76"/>
    <w:rsid w:val="71724535"/>
    <w:rsid w:val="72B1108D"/>
    <w:rsid w:val="7452064E"/>
    <w:rsid w:val="74890514"/>
    <w:rsid w:val="750000AA"/>
    <w:rsid w:val="7812047D"/>
    <w:rsid w:val="782F3850"/>
    <w:rsid w:val="785250C1"/>
    <w:rsid w:val="78C87131"/>
    <w:rsid w:val="790463BB"/>
    <w:rsid w:val="79507852"/>
    <w:rsid w:val="7A5B64AE"/>
    <w:rsid w:val="7AF81F4F"/>
    <w:rsid w:val="7AFE6E3A"/>
    <w:rsid w:val="7B4C229B"/>
    <w:rsid w:val="7B5A49B8"/>
    <w:rsid w:val="7BA43E85"/>
    <w:rsid w:val="7CC0084B"/>
    <w:rsid w:val="7DC205F3"/>
    <w:rsid w:val="7EF41DEF"/>
    <w:rsid w:val="7F2F3A66"/>
    <w:rsid w:val="7FB4040F"/>
    <w:rsid w:val="7FBD3767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fontstyle01"/>
    <w:basedOn w:val="4"/>
    <w:uiPriority w:val="0"/>
    <w:rPr>
      <w:rFonts w:ascii="NimbusRomNo9L-Medi" w:hAnsi="NimbusRomNo9L-Medi" w:eastAsia="NimbusRomNo9L-Medi" w:cs="NimbusRomNo9L-Medi"/>
      <w:color w:val="000000"/>
      <w:sz w:val="30"/>
      <w:szCs w:val="30"/>
    </w:rPr>
  </w:style>
  <w:style w:type="character" w:customStyle="1" w:styleId="6">
    <w:name w:val="fontstyle11"/>
    <w:basedOn w:val="4"/>
    <w:uiPriority w:val="0"/>
    <w:rPr>
      <w:rFonts w:ascii="CMMI7" w:hAnsi="CMMI7" w:eastAsia="CMMI7" w:cs="CMMI7"/>
      <w:color w:val="000000"/>
      <w:sz w:val="14"/>
      <w:szCs w:val="14"/>
    </w:rPr>
  </w:style>
  <w:style w:type="character" w:customStyle="1" w:styleId="7">
    <w:name w:val="fontstyle21"/>
    <w:basedOn w:val="4"/>
    <w:uiPriority w:val="0"/>
    <w:rPr>
      <w:rFonts w:ascii="CMSY10" w:hAnsi="CMSY10" w:eastAsia="CMSY10" w:cs="CMSY10"/>
      <w:color w:val="000000"/>
      <w:sz w:val="20"/>
      <w:szCs w:val="20"/>
    </w:rPr>
  </w:style>
  <w:style w:type="character" w:customStyle="1" w:styleId="8">
    <w:name w:val="fontstyle31"/>
    <w:basedOn w:val="4"/>
    <w:uiPriority w:val="0"/>
    <w:rPr>
      <w:rFonts w:ascii="NimbusRomNo9L-Regu" w:hAnsi="NimbusRomNo9L-Regu" w:eastAsia="NimbusRomNo9L-Regu" w:cs="NimbusRomNo9L-Regu"/>
      <w:color w:val="000000"/>
      <w:sz w:val="20"/>
      <w:szCs w:val="20"/>
    </w:rPr>
  </w:style>
  <w:style w:type="character" w:customStyle="1" w:styleId="9">
    <w:name w:val="fontstyle41"/>
    <w:basedOn w:val="4"/>
    <w:uiPriority w:val="0"/>
    <w:rPr>
      <w:rFonts w:ascii="CMMI7" w:hAnsi="CMMI7" w:eastAsia="CMMI7" w:cs="CMMI7"/>
      <w:color w:val="000000"/>
      <w:sz w:val="14"/>
      <w:szCs w:val="14"/>
    </w:rPr>
  </w:style>
  <w:style w:type="character" w:customStyle="1" w:styleId="10">
    <w:name w:val="fontstyle51"/>
    <w:basedOn w:val="4"/>
    <w:uiPriority w:val="0"/>
    <w:rPr>
      <w:rFonts w:ascii="CMR7" w:hAnsi="CMR7" w:eastAsia="CMR7" w:cs="CMR7"/>
      <w:color w:val="000000"/>
      <w:sz w:val="14"/>
      <w:szCs w:val="14"/>
    </w:rPr>
  </w:style>
  <w:style w:type="character" w:customStyle="1" w:styleId="11">
    <w:name w:val="fontstyle61"/>
    <w:basedOn w:val="4"/>
    <w:uiPriority w:val="0"/>
    <w:rPr>
      <w:rFonts w:ascii="MSBM10" w:hAnsi="MSBM10" w:eastAsia="MSBM10" w:cs="MSBM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2024-01-17T00:28:00Z</dcterms:created>
  <dc:creator>user3041</dc:creator>
  <cp:lastModifiedBy>user3041</cp:lastModifiedBy>
  <dcterms:modified xsi:type="dcterms:W3CDTF">2024-01-17T09:19:46Z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EB8CAB06387B4B15B2AB6BB617D15161_11</vt:lpwstr>
  </property>
</Properties>
</file>