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OLE_LINK5"/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>Are Pre-trained Language Models Useful for Model Ensemble in Chinese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>Grammatical Error Correction?</w:t>
      </w:r>
      <w:bookmarkEnd w:id="0"/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(ACL2023)</w:t>
      </w:r>
    </w:p>
    <w:p>
      <w:pPr>
        <w:numPr>
          <w:ilvl w:val="0"/>
          <w:numId w:val="1"/>
        </w:num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模型集成被广泛用于语法错误纠正(GEC)，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用于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提高了模型的性能。假设基于</w:t>
      </w:r>
      <w:bookmarkStart w:id="1" w:name="OLE_LINK1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预训练语言模型</w:t>
      </w:r>
      <w:bookmarkEnd w:id="1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(PLMs)计算的困惑度(PPL)的模型集成将有利于GEC系统。为此，我们探索了几种基于具有四个复杂单一模型的强</w:t>
      </w:r>
      <w:bookmarkStart w:id="2" w:name="OLE_LINK2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预训练语言模型</w:t>
      </w:r>
      <w:bookmarkEnd w:id="2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集成策略。然而，在基于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的集成之后，性能并没有提高，甚至会变得更差。这个令人惊讶的结果让我们对数据进行了详细的分析，并提出了一些关于GEC的见解。在测试数据中，正确句子的人为参考远远不够，正确句子与惯用句子之间的差距值得我们关注。此外，基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的集成策略为扩展和改进GEC基准数据提供了有效的方法。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代码：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instrText xml:space="preserve"> HYPERLINK "https://github.com/JamyDon/PLMbased-CGEC-Model-Ensemble。"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</w:rPr>
        <w:t>https://github.com/JamyDon/PLMbased-CGEC-Model-Ensemble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在这项工作中，我们假设在</w:t>
      </w:r>
      <w:bookmarkStart w:id="3" w:name="OLE_LINK3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bookmarkEnd w:id="3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计算的困惑度(PPL)的帮助下选择最佳集成输出应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提高CGEC的最终性能。我们对四种CGEC模型进行了集成实验，包括两个序列-序列模型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(sequence-to-sequence)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和两个序列-编辑模型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(sequence-to-edit)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。我们尝试了四种集成策略:传统投票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(traditional voting)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、</w:t>
      </w:r>
      <w:bookmarkStart w:id="4" w:name="OLE_LINK6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句子级集成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(sentence-level ensemble)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、编辑级集成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(edit-level ensemble)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和编辑组合集成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(edit-combination ensemble)</w:t>
      </w:r>
      <w:bookmarkEnd w:id="4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，后三种策略利用了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的能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力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令我们惊讶的是，与</w:t>
      </w:r>
      <w:bookmarkStart w:id="5" w:name="OLE_LINK4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bookmarkEnd w:id="5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集成的结果并不超过传统投票的结果，甚至比大多数单一模型还要差。为了找出为什么低PPL不能带来更好的GEC性能，我们对集成结果进行了详细的分析，并得到了一些关于GEC的见解: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1)在测试数据中，人工参考不足，而基于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的集成策略经过人工检查后产生了有价值的候选，可以认为是对人工参考的必要补充。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2)当面对一个错误的句子时，人类专家会以最小的努力纠正它，而基于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的集成策略会生成更自然、更地道的文本，这对海外语言学习者有很大的帮助。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3)基于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预训练语言模型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的模型能力强大，虽然试图生成流畅的句子，但有时会忽略源句子的原意，导致过度纠错，这在未来的工作中需要解决。</w:t>
      </w:r>
    </w:p>
    <w:p>
      <w:pPr>
        <w:numPr>
          <w:ilvl w:val="0"/>
          <w:numId w:val="1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基本方法</w:t>
      </w:r>
    </w:p>
    <w:p>
      <w:pPr>
        <w:numPr>
          <w:ilvl w:val="0"/>
          <w:numId w:val="2"/>
        </w:num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单CGEC模型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文中实现了4个单模型作为基线，分别是2个seq2seq模型和2个seq2edit模型。</w:t>
      </w:r>
    </w:p>
    <w:p>
      <w:pPr>
        <w:numPr>
          <w:ilvl w:val="0"/>
          <w:numId w:val="3"/>
        </w:num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.seq2seq模型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这两个seq2seq模型都是基于BART-base-Chinese。一个seq2seq模型采用“dropout-src”策略，输入句子中的每个token都以10%的概率替换为“[PAD]”。另一种是在正常训练之前，在THUCNews上构建的合成数据上进行预训练。</w:t>
      </w:r>
    </w:p>
    <w:p>
      <w:pPr>
        <w:numPr>
          <w:ilvl w:val="0"/>
          <w:numId w:val="3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.seq2edit模型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我们使用GECToR-Chinese作为我们的seq2edit模型，以预训练的Structbert-large-Chinese作为backbone。我们的两个seq2edit模型只是在随机种子上有所不同。</w:t>
      </w:r>
    </w:p>
    <w:p>
      <w:pPr>
        <w:numPr>
          <w:ilvl w:val="0"/>
          <w:numId w:val="2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预训练语言模型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采用三个预训练语言模型来进行模型集成。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.Bert-base-chinese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它在两个任务上进行预训练:掩模语言模型(MLM)和下一句预测(NSP)。在MLM中，每个token有15%的机会被替换，15%中有80%替换为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”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[MASK]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”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，10%替换为随机单词，10%使用本身。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.MacBert-base-chinese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类似于BERT，但在MLM中采用了全词屏蔽、N-gram屏蔽和相似词替换。此外，利用句子顺序预测(SOP)代替NSP。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.Gpt2-chinese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它采用生成式预训练，通过仅提供前一个单词来预测句子中的下一个单词。</w:t>
      </w:r>
    </w:p>
    <w:p>
      <w:pPr>
        <w:numPr>
          <w:ilvl w:val="0"/>
          <w:numId w:val="1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6" w:name="OLE_LINK8"/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集成策略</w:t>
      </w:r>
    </w:p>
    <w:bookmarkEnd w:id="6"/>
    <w:p>
      <w:pPr>
        <w:numPr>
          <w:numId w:val="0"/>
        </w:numPr>
      </w:pPr>
      <w:r>
        <w:drawing>
          <wp:inline distT="0" distB="0" distL="114300" distR="114300">
            <wp:extent cx="5272405" cy="32334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以源句子和四个单一模型的输出作为输入，提出了四种集成策略。我们基于预训练语言模型的集成策略如上图所示。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传统投票(Traditional Voting)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不同的模型为最终结果投票。对于每个句子，我们认为不少于T个模型建议的编辑操作作为正确结果。在我们的工作中，我们对T从2到4进行实验。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句子级集成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(Sentence-level Ensemble)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使用不同的</w:t>
      </w:r>
      <w:bookmarkStart w:id="7" w:name="OLE_LINK7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预训练语言模型</w:t>
      </w:r>
      <w:bookmarkEnd w:id="7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，我们计算了源句子的困惑度(ppl)和四个单一模型的输出。具体来说，给定一个句子S = (w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, w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，…， w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)， 预训练语言模型计算出单词w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的概率记为p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，然后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2400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。选择PPL最低的句子作为最终输出。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编辑级集成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(Edit-level Ensemble)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给定源句子S，单个模型建议的所有编辑构成候选集合A，编辑跨度的个数记为m。编辑跨度表示编辑在句子中位置的开始-结束对。第i个编辑跨度(包括“noop”)上的所有编辑(来自不同的单个模型)的集合表示为A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。A=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17182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，e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per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表示第i个编辑跨度(edit span)上的第j个编辑(edit)。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对于每个编辑跨度(A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 xml:space="preserve"> in A)，我们生成|A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|新句子，每个句子对应A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中的单个编辑。然后，我们用预训练语言模型计算这些新句子的PPL，并接受PPL最低的句子对应的编辑，我们将其标记为e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perscript"/>
          <w:lang w:val="en-US" w:eastAsia="zh-CN" w:bidi="ar-SA"/>
        </w:rPr>
        <w:t>i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best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使用每个跨度的最佳编辑，即最终编辑集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E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final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结合了这些最好的编辑，描述为: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0099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然后在E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final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的基础上产生最终的假设句。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编辑组合集成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(Edit-combination Ensemble)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一个源句子可能包含不止一个错误。对于每个句子，该策略将所有编辑组合应用于源句子并生成许多新句子。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具体来说，给定源句S，编辑候选集合A仍然为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9429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，然后我们得到所有可能的编辑组合：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41947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然后，生成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857250" cy="238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  <w:t>新的句子，每个都对应于U中的编辑组合。PPL最低的句子将被接受为最终输出。考虑到计算复杂度，我们只对编辑组合个数不超过300个的句子应用此策略。</w:t>
      </w:r>
    </w:p>
    <w:p>
      <w:pPr>
        <w:numPr>
          <w:ilvl w:val="0"/>
          <w:numId w:val="1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93319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实验结果如上表所示。传统的投票策略达到了最好的性能，在字符水平上得分为44.09 F</w:t>
      </w: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0.5</w:t>
      </w: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，明显高于最佳的单一模型。随着阈值T的增大，准确率上升，召回率下降。当T = 3时，F</w:t>
      </w: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0.5</w:t>
      </w: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得分达到峰值。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然而，基于</w:t>
      </w:r>
      <w:bookmarkStart w:id="8" w:name="OLE_LINK9"/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预训练语言模型</w:t>
      </w:r>
      <w:bookmarkEnd w:id="8"/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的集成策略的性能比简单的投票策略差得多，甚至低于大多数单一模型。在准确率和召回率方面，传统投票比单一模型的准确率更高，召回率更低，而基于</w:t>
      </w:r>
      <w:bookmarkStart w:id="9" w:name="OLE_LINK10"/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预训练语言模型</w:t>
      </w:r>
      <w:bookmarkEnd w:id="9"/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的策略则相反。在三种集成策略中，句子级集成策略效果最好。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宋体" w:hAnsi="宋体" w:eastAsia="宋体" w:cs="宋体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在不同的预训练语言模型中，GPT2-Chinese在三种集成策略中都取得了最好的效果。这可能是因为基于bert的模型天生擅长掩模预测，而不是计算整个句子的ppl。随后，我们基于GPT2-Chinese进行了进一步的分析。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DBD8F"/>
    <w:multiLevelType w:val="singleLevel"/>
    <w:tmpl w:val="901DBD8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272164D"/>
    <w:multiLevelType w:val="singleLevel"/>
    <w:tmpl w:val="D2721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DA4276"/>
    <w:multiLevelType w:val="singleLevel"/>
    <w:tmpl w:val="11DA42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EF1205D"/>
    <w:multiLevelType w:val="singleLevel"/>
    <w:tmpl w:val="1EF12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3E8668"/>
    <w:multiLevelType w:val="singleLevel"/>
    <w:tmpl w:val="493E866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3CFF323D"/>
    <w:rsid w:val="004B25A9"/>
    <w:rsid w:val="005C088A"/>
    <w:rsid w:val="00F22F9D"/>
    <w:rsid w:val="012D2227"/>
    <w:rsid w:val="018067FB"/>
    <w:rsid w:val="01875DDB"/>
    <w:rsid w:val="02EB239A"/>
    <w:rsid w:val="041453F5"/>
    <w:rsid w:val="04D01847"/>
    <w:rsid w:val="04DD5D12"/>
    <w:rsid w:val="06475B39"/>
    <w:rsid w:val="095F763D"/>
    <w:rsid w:val="0AFA13CC"/>
    <w:rsid w:val="0BBE1DD7"/>
    <w:rsid w:val="0BEB340A"/>
    <w:rsid w:val="0CAC4948"/>
    <w:rsid w:val="0F0E18EA"/>
    <w:rsid w:val="13347445"/>
    <w:rsid w:val="13464ECB"/>
    <w:rsid w:val="149E54BE"/>
    <w:rsid w:val="151237B6"/>
    <w:rsid w:val="177E15D6"/>
    <w:rsid w:val="18823700"/>
    <w:rsid w:val="19025ADC"/>
    <w:rsid w:val="19E73463"/>
    <w:rsid w:val="1A0538E9"/>
    <w:rsid w:val="1ABD2416"/>
    <w:rsid w:val="1B5A1A13"/>
    <w:rsid w:val="1D1C3424"/>
    <w:rsid w:val="1DCF20F7"/>
    <w:rsid w:val="1DE66390"/>
    <w:rsid w:val="1EEE7042"/>
    <w:rsid w:val="204C2272"/>
    <w:rsid w:val="2197751D"/>
    <w:rsid w:val="225673D8"/>
    <w:rsid w:val="23C640E9"/>
    <w:rsid w:val="251F7F55"/>
    <w:rsid w:val="27160EE4"/>
    <w:rsid w:val="27457A1B"/>
    <w:rsid w:val="29A96BF0"/>
    <w:rsid w:val="29C27101"/>
    <w:rsid w:val="2B373B1E"/>
    <w:rsid w:val="2B764647"/>
    <w:rsid w:val="2C356A00"/>
    <w:rsid w:val="2C732934"/>
    <w:rsid w:val="2CC94C4A"/>
    <w:rsid w:val="2EF44200"/>
    <w:rsid w:val="2F8A6913"/>
    <w:rsid w:val="2FF975F4"/>
    <w:rsid w:val="32D305D1"/>
    <w:rsid w:val="37070849"/>
    <w:rsid w:val="382947EF"/>
    <w:rsid w:val="38F70373"/>
    <w:rsid w:val="393A3157"/>
    <w:rsid w:val="3A1219DE"/>
    <w:rsid w:val="3B0719C8"/>
    <w:rsid w:val="3B5D4EDB"/>
    <w:rsid w:val="3B765F9D"/>
    <w:rsid w:val="3BB014AF"/>
    <w:rsid w:val="3C5C5193"/>
    <w:rsid w:val="3CA74F18"/>
    <w:rsid w:val="3CFF323D"/>
    <w:rsid w:val="3DC62056"/>
    <w:rsid w:val="3E3A1504"/>
    <w:rsid w:val="3E8135D7"/>
    <w:rsid w:val="3EE31B9B"/>
    <w:rsid w:val="3F2F6B8F"/>
    <w:rsid w:val="3F7D3D9E"/>
    <w:rsid w:val="43B41C41"/>
    <w:rsid w:val="43FB7987"/>
    <w:rsid w:val="445A46AE"/>
    <w:rsid w:val="446077EA"/>
    <w:rsid w:val="449F0313"/>
    <w:rsid w:val="45E05378"/>
    <w:rsid w:val="47DB78B4"/>
    <w:rsid w:val="488A12DA"/>
    <w:rsid w:val="49115A08"/>
    <w:rsid w:val="4AC565F9"/>
    <w:rsid w:val="4BBF74EC"/>
    <w:rsid w:val="4C804ECE"/>
    <w:rsid w:val="507C59AC"/>
    <w:rsid w:val="51087240"/>
    <w:rsid w:val="52C61160"/>
    <w:rsid w:val="53334A48"/>
    <w:rsid w:val="561C5C67"/>
    <w:rsid w:val="56576C9F"/>
    <w:rsid w:val="56CB143B"/>
    <w:rsid w:val="56F83EAB"/>
    <w:rsid w:val="58935F89"/>
    <w:rsid w:val="5923730C"/>
    <w:rsid w:val="59D6612D"/>
    <w:rsid w:val="5A2E5F69"/>
    <w:rsid w:val="5A955FE8"/>
    <w:rsid w:val="5AB11CC4"/>
    <w:rsid w:val="5CDF179C"/>
    <w:rsid w:val="5D504448"/>
    <w:rsid w:val="5E766130"/>
    <w:rsid w:val="5EC46E9C"/>
    <w:rsid w:val="61354081"/>
    <w:rsid w:val="62946B85"/>
    <w:rsid w:val="632C5010"/>
    <w:rsid w:val="647A1DAB"/>
    <w:rsid w:val="65D947DF"/>
    <w:rsid w:val="65E41BD1"/>
    <w:rsid w:val="660364FC"/>
    <w:rsid w:val="66B45A48"/>
    <w:rsid w:val="67191D4F"/>
    <w:rsid w:val="6809724F"/>
    <w:rsid w:val="695E1C9B"/>
    <w:rsid w:val="69D65E3E"/>
    <w:rsid w:val="6A332B5C"/>
    <w:rsid w:val="6ACA583A"/>
    <w:rsid w:val="6AEA1A38"/>
    <w:rsid w:val="6B5B46E4"/>
    <w:rsid w:val="6C44786E"/>
    <w:rsid w:val="6CA81BAB"/>
    <w:rsid w:val="6E573888"/>
    <w:rsid w:val="70782F11"/>
    <w:rsid w:val="73092AA8"/>
    <w:rsid w:val="73506AF8"/>
    <w:rsid w:val="73D05762"/>
    <w:rsid w:val="74CF1C9F"/>
    <w:rsid w:val="74F02341"/>
    <w:rsid w:val="76D90BB3"/>
    <w:rsid w:val="79442C5B"/>
    <w:rsid w:val="7A0128FA"/>
    <w:rsid w:val="7DC0487A"/>
    <w:rsid w:val="7FA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2024-02-06T02:58:00Z</dcterms:created>
  <dc:creator>user3041</dc:creator>
  <cp:lastModifiedBy>user3041</cp:lastModifiedBy>
  <dcterms:modified xsi:type="dcterms:W3CDTF">2024-02-06T09:27:30Z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B84F1840EE8142EAA5E2A7DA4C978857_11</vt:lpwstr>
  </property>
</Properties>
</file>