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7BF3">
      <w:pPr>
        <w:pBdr>
          <w:bottom w:val="single" w:color="CCCCCC" w:sz="6" w:space="0"/>
        </w:pBdr>
        <w:spacing w:before="200" w:after="200"/>
      </w:pPr>
    </w:p>
    <w:p w14:paraId="03155315">
      <w:pPr>
        <w:pStyle w:val="2"/>
        <w:spacing w:before="240" w:after="120"/>
      </w:pPr>
      <w:r>
        <w:t>数据库高并发架构与 ShardingSphere-JDBC 实战指南</w:t>
      </w:r>
    </w:p>
    <w:p w14:paraId="7FE5074E">
      <w:pPr>
        <w:spacing w:before="120" w:after="120"/>
      </w:pPr>
      <w:r>
        <w:t>在互联网大数据场景下，为了解决单机数据库的性能瓶颈，通常需要采用读写分离、分库分表等架构方案。本文将系统性地介绍这些概念及其实践工具。</w:t>
      </w:r>
    </w:p>
    <w:p w14:paraId="6354E62A">
      <w:pPr>
        <w:pBdr>
          <w:bottom w:val="single" w:color="CCCCCC" w:sz="6" w:space="0"/>
        </w:pBdr>
        <w:spacing w:before="200" w:after="200"/>
      </w:pPr>
    </w:p>
    <w:p w14:paraId="227ADB4D">
      <w:pPr>
        <w:pStyle w:val="3"/>
        <w:spacing w:before="240" w:after="120"/>
      </w:pPr>
      <w:r>
        <w:t>一、 读写分离 (Read-Write Splitting)</w:t>
      </w:r>
    </w:p>
    <w:p w14:paraId="3584977F">
      <w:pPr>
        <w:pStyle w:val="4"/>
        <w:spacing w:before="240" w:after="120"/>
      </w:pPr>
      <w:r>
        <w:t>1. 核心思想</w:t>
      </w:r>
    </w:p>
    <w:p w14:paraId="7809BE1E">
      <w:pPr>
        <w:spacing w:before="120" w:after="120"/>
      </w:pPr>
      <w:r>
        <w:t>将数据库的</w:t>
      </w:r>
      <w:r>
        <w:rPr>
          <w:b/>
          <w:bCs/>
        </w:rPr>
        <w:t>写操作</w:t>
      </w:r>
      <w:r>
        <w:t>（Insert, Update, Delete）和</w:t>
      </w:r>
      <w:r>
        <w:rPr>
          <w:b/>
          <w:bCs/>
        </w:rPr>
        <w:t>读操作</w:t>
      </w:r>
      <w:r>
        <w:t>（Select）分开，由不同的服务器处理。</w:t>
      </w:r>
    </w:p>
    <w:p w14:paraId="1041F9E3">
      <w:pPr>
        <w:spacing w:before="60" w:after="60"/>
        <w:ind w:left="360"/>
      </w:pPr>
      <w:r>
        <w:t xml:space="preserve">• </w:t>
      </w:r>
      <w:r>
        <w:rPr>
          <w:b/>
          <w:bCs/>
        </w:rPr>
        <w:t>主库 (Master)</w:t>
      </w:r>
      <w:r>
        <w:t>：处理写请求，同步数据给从库。</w:t>
      </w:r>
    </w:p>
    <w:p w14:paraId="3F0662C0">
      <w:pPr>
        <w:spacing w:before="60" w:after="60"/>
        <w:ind w:left="360"/>
      </w:pPr>
      <w:r>
        <w:t xml:space="preserve">• </w:t>
      </w:r>
      <w:r>
        <w:rPr>
          <w:b/>
          <w:bCs/>
        </w:rPr>
        <w:t>从库 (Slave)</w:t>
      </w:r>
      <w:r>
        <w:t>：处理读请求，通过多台从库实现负载均衡。</w:t>
      </w:r>
    </w:p>
    <w:p w14:paraId="40E5EF41">
      <w:pPr>
        <w:pStyle w:val="4"/>
        <w:spacing w:before="240" w:after="120"/>
      </w:pPr>
      <w:r>
        <w:t>2. 解决的问题</w:t>
      </w:r>
    </w:p>
    <w:p w14:paraId="0B7656B8">
      <w:pPr>
        <w:spacing w:before="60" w:after="60"/>
        <w:ind w:left="360"/>
      </w:pPr>
      <w:r>
        <w:t>• 缓解 CPU 和 IO 压力，提升读性能。</w:t>
      </w:r>
    </w:p>
    <w:p w14:paraId="05388A2E">
      <w:pPr>
        <w:spacing w:before="60" w:after="60"/>
        <w:ind w:left="360"/>
      </w:pPr>
      <w:r>
        <w:t>• 提高系统可用性（主库宕机可切换，从库冗余）。</w:t>
      </w:r>
    </w:p>
    <w:p w14:paraId="5ED76AB9">
      <w:pPr>
        <w:pStyle w:val="4"/>
        <w:spacing w:before="240" w:after="120"/>
      </w:pPr>
      <w:r>
        <w:t>3. 实现原理：主从复制</w:t>
      </w:r>
    </w:p>
    <w:p w14:paraId="19C4671D">
      <w:pPr>
        <w:spacing w:before="60" w:after="60"/>
        <w:ind w:left="360"/>
      </w:pPr>
      <w:r>
        <w:t xml:space="preserve">1. 主库记录变更到 </w:t>
      </w:r>
      <w:r>
        <w:rPr>
          <w:b/>
          <w:bCs/>
        </w:rPr>
        <w:t>binlog</w:t>
      </w:r>
      <w:r>
        <w:t>。</w:t>
      </w:r>
    </w:p>
    <w:p w14:paraId="44D6AF19">
      <w:pPr>
        <w:spacing w:before="60" w:after="60"/>
        <w:ind w:left="360"/>
      </w:pPr>
      <w:r>
        <w:t xml:space="preserve">2. 从库通过 </w:t>
      </w:r>
      <w:r>
        <w:rPr>
          <w:b/>
          <w:bCs/>
        </w:rPr>
        <w:t>I/O 线程</w:t>
      </w:r>
      <w:r>
        <w:t xml:space="preserve"> 将 binlog 拷贝到本地的 </w:t>
      </w:r>
      <w:r>
        <w:rPr>
          <w:b/>
          <w:bCs/>
        </w:rPr>
        <w:t>relay log</w:t>
      </w:r>
      <w:r>
        <w:t>（中继日志）。</w:t>
      </w:r>
    </w:p>
    <w:p w14:paraId="1FA1C701">
      <w:pPr>
        <w:spacing w:before="60" w:after="60"/>
        <w:ind w:left="360"/>
      </w:pPr>
      <w:r>
        <w:t xml:space="preserve">3. 从库通过 </w:t>
      </w:r>
      <w:r>
        <w:rPr>
          <w:b/>
          <w:bCs/>
        </w:rPr>
        <w:t>SQL 线程</w:t>
      </w:r>
      <w:r>
        <w:t xml:space="preserve"> 回放日志，更新数据。</w:t>
      </w:r>
    </w:p>
    <w:p w14:paraId="1D989A20">
      <w:pPr>
        <w:pBdr>
          <w:bottom w:val="single" w:color="CCCCCC" w:sz="6" w:space="0"/>
        </w:pBdr>
        <w:spacing w:before="200" w:after="200"/>
      </w:pPr>
    </w:p>
    <w:p w14:paraId="0B8131E0">
      <w:pPr>
        <w:pStyle w:val="3"/>
        <w:spacing w:before="240" w:after="120"/>
      </w:pPr>
      <w:r>
        <w:t>二、 分库分表 (Sharding)</w:t>
      </w:r>
    </w:p>
    <w:p w14:paraId="0CF1EDF2">
      <w:pPr>
        <w:pStyle w:val="4"/>
        <w:spacing w:before="240" w:after="120"/>
      </w:pPr>
      <w:r>
        <w:t>1. 拆分方式</w:t>
      </w:r>
    </w:p>
    <w:p w14:paraId="192791E5">
      <w:pPr>
        <w:spacing w:before="60" w:after="60"/>
        <w:ind w:left="360"/>
      </w:pPr>
      <w:r>
        <w:t xml:space="preserve">• </w:t>
      </w:r>
      <w:r>
        <w:rPr>
          <w:b/>
          <w:bCs/>
        </w:rPr>
        <w:t>垂直拆分</w:t>
      </w:r>
      <w:r>
        <w:t>：
</w:t>
      </w:r>
    </w:p>
    <w:p w14:paraId="24C8687E">
      <w:pPr>
        <w:spacing w:before="60" w:after="60"/>
        <w:ind w:left="720"/>
      </w:pPr>
      <w:r>
        <w:t xml:space="preserve">◦ </w:t>
      </w:r>
      <w:r>
        <w:rPr>
          <w:b/>
          <w:bCs/>
        </w:rPr>
        <w:t>垂直分库</w:t>
      </w:r>
      <w:r>
        <w:t>：按业务拆分（如：用户库、订单库）。</w:t>
      </w:r>
    </w:p>
    <w:p w14:paraId="2CB969B5">
      <w:pPr>
        <w:spacing w:before="60" w:after="60"/>
        <w:ind w:left="720"/>
      </w:pPr>
      <w:r>
        <w:t xml:space="preserve">◦ </w:t>
      </w:r>
      <w:r>
        <w:rPr>
          <w:b/>
          <w:bCs/>
        </w:rPr>
        <w:t>垂直分表</w:t>
      </w:r>
      <w:r>
        <w:t xml:space="preserve">：按字段拆分（如：将大文本字段 </w:t>
      </w:r>
      <w:r>
        <w:rPr>
          <w:rFonts w:ascii="Consolas" w:hAnsi="Consolas" w:eastAsia="Consolas" w:cs="Consolas"/>
          <w:sz w:val="20"/>
          <w:szCs w:val="20"/>
        </w:rPr>
        <w:t>content</w:t>
      </w:r>
      <w:r>
        <w:t xml:space="preserve"> 拆到扩展表）。</w:t>
      </w:r>
    </w:p>
    <w:p w14:paraId="4527ABE9">
      <w:pPr>
        <w:spacing w:before="60" w:after="60"/>
        <w:ind w:left="360"/>
      </w:pPr>
      <w:r>
        <w:t xml:space="preserve">• </w:t>
      </w:r>
      <w:r>
        <w:rPr>
          <w:b/>
          <w:bCs/>
        </w:rPr>
        <w:t>水平拆分</w:t>
      </w:r>
      <w:r>
        <w:t>：
</w:t>
      </w:r>
    </w:p>
    <w:p w14:paraId="23A07DE0">
      <w:pPr>
        <w:spacing w:before="60" w:after="60"/>
        <w:ind w:left="720"/>
      </w:pPr>
      <w:r>
        <w:t xml:space="preserve">◦ </w:t>
      </w:r>
      <w:r>
        <w:rPr>
          <w:b/>
          <w:bCs/>
        </w:rPr>
        <w:t>水平分表</w:t>
      </w:r>
      <w:r>
        <w:t xml:space="preserve">：同表数据按逻辑（如 ID 取模）存入 </w:t>
      </w:r>
      <w:r>
        <w:rPr>
          <w:rFonts w:ascii="Consolas" w:hAnsi="Consolas" w:eastAsia="Consolas" w:cs="Consolas"/>
          <w:sz w:val="20"/>
          <w:szCs w:val="20"/>
        </w:rPr>
        <w:t>t_order_0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t_order_1</w:t>
      </w:r>
      <w:r>
        <w:t>。</w:t>
      </w:r>
    </w:p>
    <w:p w14:paraId="1F4160CE">
      <w:pPr>
        <w:spacing w:before="60" w:after="60"/>
        <w:ind w:left="720"/>
      </w:pPr>
      <w:r>
        <w:t xml:space="preserve">◦ </w:t>
      </w:r>
      <w:r>
        <w:rPr>
          <w:b/>
          <w:bCs/>
        </w:rPr>
        <w:t>水平分库</w:t>
      </w:r>
      <w:r>
        <w:t>：数据分布到不同的物理数据库实例。</w:t>
      </w:r>
    </w:p>
    <w:p w14:paraId="3C9E3C2B">
      <w:pPr>
        <w:pStyle w:val="4"/>
        <w:spacing w:before="240" w:after="120"/>
      </w:pPr>
      <w:r>
        <w:t>2. 分片策略</w:t>
      </w:r>
    </w:p>
    <w:p w14:paraId="557E4A57">
      <w:pPr>
        <w:spacing w:before="60" w:after="60"/>
        <w:ind w:left="360"/>
      </w:pPr>
      <w:r>
        <w:t xml:space="preserve">• </w:t>
      </w:r>
      <w:r>
        <w:rPr>
          <w:b/>
          <w:bCs/>
        </w:rPr>
        <w:t>Range (范围)</w:t>
      </w:r>
      <w:r>
        <w:t>：按时间或 ID 范围，扩容方便，但易产生热点。</w:t>
      </w:r>
    </w:p>
    <w:p w14:paraId="5C94C0E8">
      <w:pPr>
        <w:spacing w:before="60" w:after="60"/>
        <w:ind w:left="360"/>
      </w:pPr>
      <w:r>
        <w:t xml:space="preserve">• </w:t>
      </w:r>
      <w:r>
        <w:rPr>
          <w:b/>
          <w:bCs/>
        </w:rPr>
        <w:t>Hash (哈希)</w:t>
      </w:r>
      <w:r>
        <w:t>：按 ID 取模，数据分布均匀，但扩容需迁移数据。</w:t>
      </w:r>
    </w:p>
    <w:p w14:paraId="261CA57E">
      <w:pPr>
        <w:pStyle w:val="4"/>
        <w:spacing w:before="240" w:after="120"/>
      </w:pPr>
      <w:r>
        <w:t>3. 带来的挑战</w:t>
      </w:r>
    </w:p>
    <w:p w14:paraId="51E4E2F4">
      <w:pPr>
        <w:spacing w:before="60" w:after="60"/>
        <w:ind w:left="360"/>
      </w:pPr>
      <w:r>
        <w:t>• 分布式事务一致性。</w:t>
      </w:r>
    </w:p>
    <w:p w14:paraId="64A5689E">
      <w:pPr>
        <w:spacing w:before="60" w:after="60"/>
        <w:ind w:left="360"/>
      </w:pPr>
      <w:r>
        <w:t>• 跨库 Join 困难。</w:t>
      </w:r>
    </w:p>
    <w:p w14:paraId="7DBA9C06">
      <w:pPr>
        <w:spacing w:before="60" w:after="60"/>
        <w:ind w:left="360"/>
      </w:pPr>
      <w:r>
        <w:t>• 分布式全局唯一 ID（如雪花算法）。</w:t>
      </w:r>
    </w:p>
    <w:p w14:paraId="12F0EB7E">
      <w:pPr>
        <w:pBdr>
          <w:bottom w:val="single" w:color="CCCCCC" w:sz="6" w:space="0"/>
        </w:pBdr>
        <w:spacing w:before="200" w:after="200"/>
      </w:pPr>
    </w:p>
    <w:p w14:paraId="411552D3">
      <w:pPr>
        <w:pStyle w:val="3"/>
        <w:spacing w:before="240" w:after="120"/>
      </w:pPr>
      <w:r>
        <w:t>三、 ShardingSphere-JDBC 实战</w:t>
      </w:r>
    </w:p>
    <w:p w14:paraId="661AD07C">
      <w:pPr>
        <w:spacing w:before="120" w:after="120"/>
      </w:pPr>
      <w:r>
        <w:t>ShardingSphere-JDBC 是一个轻量级 Java 框架，在 JDBC 层提供服务，无需额外部署。</w:t>
      </w:r>
    </w:p>
    <w:p w14:paraId="151EA637">
      <w:pPr>
        <w:pStyle w:val="4"/>
        <w:spacing w:before="240" w:after="120"/>
      </w:pPr>
      <w:r>
        <w:t>1. 引入 Maven 依赖</w:t>
      </w:r>
    </w:p>
    <w:p w14:paraId="20B84D1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&lt;dependency&gt;</w:t>
      </w:r>
    </w:p>
    <w:p w14:paraId="698C185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&lt;groupId&gt;org.apache.shardingsphere&lt;/groupId&gt;</w:t>
      </w:r>
    </w:p>
    <w:p w14:paraId="20AE6D6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&lt;artifactId&gt;shardingsphere-jdbc-core-spring-boot-starter&lt;/artifactId&gt;</w:t>
      </w:r>
    </w:p>
    <w:p w14:paraId="280DEA9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&lt;version&gt;5.4.1&lt;/version&gt;</w:t>
      </w:r>
    </w:p>
    <w:p w14:paraId="1C643DF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&lt;/dependency&gt;</w:t>
      </w:r>
    </w:p>
    <w:p w14:paraId="53275AA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104E1C9">
      <w:pPr>
        <w:pStyle w:val="4"/>
        <w:spacing w:before="240" w:after="120"/>
      </w:pPr>
      <w:r>
        <w:t>2. YAML 配置示例 (水平分库分表)</w:t>
      </w:r>
    </w:p>
    <w:p w14:paraId="7D1CCBE8">
      <w:pPr>
        <w:spacing w:before="120" w:after="120"/>
      </w:pPr>
      <w:r>
        <w:t xml:space="preserve">在 </w:t>
      </w:r>
      <w:r>
        <w:rPr>
          <w:rFonts w:ascii="Consolas" w:hAnsi="Consolas" w:eastAsia="Consolas" w:cs="Consolas"/>
          <w:sz w:val="20"/>
          <w:szCs w:val="20"/>
        </w:rPr>
        <w:t>application.yml</w:t>
      </w:r>
      <w:r>
        <w:t xml:space="preserve"> 中配置 2 个数据库，每个数据库 2 张表：</w:t>
      </w:r>
    </w:p>
    <w:p w14:paraId="3493C60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spring:</w:t>
      </w:r>
    </w:p>
    <w:p w14:paraId="2FEB92B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shardingsphere:</w:t>
      </w:r>
    </w:p>
    <w:p w14:paraId="1B67460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datasource:</w:t>
      </w:r>
    </w:p>
    <w:p w14:paraId="52AA9E2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names: ds_0,ds_1</w:t>
      </w:r>
    </w:p>
    <w:p w14:paraId="784B4B8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ds_0: # 数据源 0</w:t>
      </w:r>
    </w:p>
    <w:p w14:paraId="7A3BC2C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type: com.zaxxer.hikari.HikariDataSource</w:t>
      </w:r>
    </w:p>
    <w:p w14:paraId="3E3C23F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jdbc-url: jdbc:mysql://localhost:3306/db_0</w:t>
      </w:r>
    </w:p>
    <w:p w14:paraId="1B89C37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username: root</w:t>
      </w:r>
    </w:p>
    <w:p w14:paraId="4B5B34F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password: root_password</w:t>
      </w:r>
    </w:p>
    <w:p w14:paraId="4866FF4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ds_1: # 数据源 1</w:t>
      </w:r>
    </w:p>
    <w:p w14:paraId="1EB6F71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type: com.zaxxer.hikari.HikariDataSource</w:t>
      </w:r>
    </w:p>
    <w:p w14:paraId="590E164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jdbc-url: jdbc:mysql://localhost:3306/db_1</w:t>
      </w:r>
    </w:p>
    <w:p w14:paraId="25F6020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username: root</w:t>
      </w:r>
    </w:p>
    <w:p w14:paraId="7F1AB7C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password: root_password</w:t>
      </w:r>
    </w:p>
    <w:p w14:paraId="49AD4E9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B6A11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rules:</w:t>
      </w:r>
    </w:p>
    <w:p w14:paraId="56841B1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sharding:</w:t>
      </w:r>
    </w:p>
    <w:p w14:paraId="73A9D65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tables:</w:t>
      </w:r>
    </w:p>
    <w:p w14:paraId="6390320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t_order: # 逻辑表名</w:t>
      </w:r>
    </w:p>
    <w:p w14:paraId="10A05D3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actual-data-nodes: ds_$-&gt;{0..1}.t_order_$-&gt;{0..1}</w:t>
      </w:r>
    </w:p>
    <w:p w14:paraId="49269C2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database-strategy: # 分库策略</w:t>
      </w:r>
    </w:p>
    <w:p w14:paraId="585BA0D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standard:</w:t>
      </w:r>
    </w:p>
    <w:p w14:paraId="6B9030F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sharding-column: user_id</w:t>
      </w:r>
    </w:p>
    <w:p w14:paraId="7A854D7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sharding-algorithm-name: database_inline</w:t>
      </w:r>
    </w:p>
    <w:p w14:paraId="3FFCB56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table-strategy: # 分表策略</w:t>
      </w:r>
    </w:p>
    <w:p w14:paraId="27A097E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standard:</w:t>
      </w:r>
    </w:p>
    <w:p w14:paraId="430B7E3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sharding-column: order_id</w:t>
      </w:r>
    </w:p>
    <w:p w14:paraId="5F8367A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sharding-algorithm-name: table_inline</w:t>
      </w:r>
    </w:p>
    <w:p w14:paraId="163EA41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key-generate-strategy: # 分布式ID</w:t>
      </w:r>
    </w:p>
    <w:p w14:paraId="45BF5AD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column: order_id</w:t>
      </w:r>
    </w:p>
    <w:p w14:paraId="167CBF7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key-generator-name: snowflake</w:t>
      </w:r>
    </w:p>
    <w:p w14:paraId="7CEC321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E8D22C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sharding-algorithms:</w:t>
      </w:r>
    </w:p>
    <w:p w14:paraId="71BC8EE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database_inline:</w:t>
      </w:r>
    </w:p>
    <w:p w14:paraId="57746AB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type: INLINE</w:t>
      </w:r>
    </w:p>
    <w:p w14:paraId="7ACD1AA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props:</w:t>
      </w:r>
    </w:p>
    <w:p w14:paraId="3B5A277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algorithm-expression: ds_$-&gt;{user_id % 2}</w:t>
      </w:r>
    </w:p>
    <w:p w14:paraId="0AD0EC1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table_inline:</w:t>
      </w:r>
    </w:p>
    <w:p w14:paraId="159853F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type: INLINE</w:t>
      </w:r>
    </w:p>
    <w:p w14:paraId="2185C4C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props:</w:t>
      </w:r>
    </w:p>
    <w:p w14:paraId="7BABD7C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algorithm-expression: t_order_$-&gt;{order_id % 2}</w:t>
      </w:r>
    </w:p>
    <w:p w14:paraId="45C12A5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</w:t>
      </w:r>
    </w:p>
    <w:p w14:paraId="08B58F4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key-generators:</w:t>
      </w:r>
    </w:p>
    <w:p w14:paraId="425FF8A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snowflake:</w:t>
      </w:r>
    </w:p>
    <w:p w14:paraId="5D7C928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type: SNOWFLAKE</w:t>
      </w:r>
    </w:p>
    <w:p w14:paraId="0F19284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874EC73">
      <w:pPr>
        <w:pBdr>
          <w:bottom w:val="single" w:color="CCCCCC" w:sz="6" w:space="0"/>
        </w:pBdr>
        <w:spacing w:before="200" w:after="200"/>
      </w:pPr>
    </w:p>
    <w:p w14:paraId="37588633">
      <w:pPr>
        <w:pStyle w:val="3"/>
        <w:spacing w:before="240" w:after="120"/>
      </w:pPr>
      <w:r>
        <w:t>四、 YAML 语法简介</w:t>
      </w:r>
    </w:p>
    <w:p w14:paraId="4EA1F6AF">
      <w:pPr>
        <w:spacing w:before="120" w:after="120"/>
      </w:pPr>
      <w:r>
        <w:t>YAML (YAML Ain't Markup Language) 是一种专门为配置文件设计的、人类可读的数据序列化格式。</w:t>
      </w:r>
    </w:p>
    <w:p w14:paraId="6932CF47">
      <w:pPr>
        <w:pStyle w:val="4"/>
        <w:spacing w:before="240" w:after="120"/>
      </w:pPr>
      <w:r>
        <w:t>1. 基本规则</w:t>
      </w:r>
    </w:p>
    <w:p w14:paraId="1449367A">
      <w:pPr>
        <w:spacing w:before="60" w:after="60"/>
        <w:ind w:left="360"/>
      </w:pPr>
      <w:r>
        <w:t xml:space="preserve">• </w:t>
      </w:r>
      <w:r>
        <w:rPr>
          <w:b/>
          <w:bCs/>
        </w:rPr>
        <w:t>大小写敏感</w:t>
      </w:r>
      <w:r>
        <w:t>。</w:t>
      </w:r>
    </w:p>
    <w:p w14:paraId="07C3861D">
      <w:pPr>
        <w:spacing w:before="60" w:after="60"/>
        <w:ind w:left="360"/>
      </w:pPr>
      <w:r>
        <w:t xml:space="preserve">• </w:t>
      </w:r>
      <w:r>
        <w:rPr>
          <w:b/>
          <w:bCs/>
        </w:rPr>
        <w:t>缩进必须使用空格</w:t>
      </w:r>
      <w:r>
        <w:t>，不能使用 Tab。</w:t>
      </w:r>
    </w:p>
    <w:p w14:paraId="0C5C4766">
      <w:pPr>
        <w:spacing w:before="60" w:after="60"/>
        <w:ind w:left="360"/>
      </w:pPr>
      <w:r>
        <w:t xml:space="preserve">• </w:t>
      </w:r>
      <w:r>
        <w:rPr>
          <w:b/>
          <w:bCs/>
        </w:rPr>
        <w:t>层级结构</w:t>
      </w:r>
      <w:r>
        <w:t>通过缩进表示。</w:t>
      </w:r>
    </w:p>
    <w:p w14:paraId="24AC3A39">
      <w:pPr>
        <w:spacing w:before="60" w:after="60"/>
        <w:ind w:left="360"/>
      </w:pPr>
      <w:r>
        <w:t xml:space="preserve">• </w:t>
      </w:r>
      <w:r>
        <w:rPr>
          <w:b/>
          <w:bCs/>
        </w:rPr>
        <w:t>冒号后必须加空格</w:t>
      </w:r>
      <w:r>
        <w:t xml:space="preserve">（如 </w:t>
      </w:r>
      <w:r>
        <w:rPr>
          <w:rFonts w:ascii="Consolas" w:hAnsi="Consolas" w:eastAsia="Consolas" w:cs="Consolas"/>
          <w:sz w:val="20"/>
          <w:szCs w:val="20"/>
        </w:rPr>
        <w:t>key: value</w:t>
      </w:r>
      <w:r>
        <w:t>）。</w:t>
      </w:r>
    </w:p>
    <w:p w14:paraId="3EDDD184">
      <w:pPr>
        <w:pStyle w:val="4"/>
        <w:spacing w:before="240" w:after="120"/>
      </w:pPr>
      <w:r>
        <w:t>2. 数据结构</w:t>
      </w:r>
    </w:p>
    <w:p w14:paraId="52277F89">
      <w:pPr>
        <w:spacing w:before="60" w:after="60"/>
        <w:ind w:left="360"/>
      </w:pPr>
      <w:r>
        <w:t xml:space="preserve">• </w:t>
      </w:r>
      <w:r>
        <w:rPr>
          <w:b/>
          <w:bCs/>
        </w:rPr>
        <w:t>对象 (Object)</w:t>
      </w:r>
      <w:r>
        <w:t>：</w:t>
      </w:r>
      <w:r>
        <w:rPr>
          <w:rFonts w:ascii="Consolas" w:hAnsi="Consolas" w:eastAsia="Consolas" w:cs="Consolas"/>
          <w:sz w:val="20"/>
          <w:szCs w:val="20"/>
        </w:rPr>
        <w:t>user:
  name: Jack
  age: 18
</w:t>
      </w:r>
    </w:p>
    <w:p w14:paraId="14360D3A">
      <w:pPr>
        <w:spacing w:before="60" w:after="60"/>
        <w:ind w:left="360"/>
      </w:pPr>
      <w:r>
        <w:t xml:space="preserve">• </w:t>
      </w:r>
      <w:r>
        <w:rPr>
          <w:b/>
          <w:bCs/>
        </w:rPr>
        <w:t>数组 (Array)</w:t>
      </w:r>
      <w:r>
        <w:t>：</w:t>
      </w:r>
      <w:r>
        <w:rPr>
          <w:rFonts w:ascii="Consolas" w:hAnsi="Consolas" w:eastAsia="Consolas" w:cs="Consolas"/>
          <w:sz w:val="20"/>
          <w:szCs w:val="20"/>
        </w:rPr>
        <w:t>tags:
  - Java
  - MySQL
  - YAML
</w:t>
      </w:r>
    </w:p>
    <w:p w14:paraId="2A24E453">
      <w:pPr>
        <w:spacing w:before="60" w:after="60"/>
        <w:ind w:left="360"/>
      </w:pPr>
      <w:r>
        <w:t xml:space="preserve">• </w:t>
      </w:r>
      <w:r>
        <w:rPr>
          <w:b/>
          <w:bCs/>
        </w:rPr>
        <w:t>常量 (Scalar)</w:t>
      </w:r>
      <w:r>
        <w:t>：包括字符串、整数、布尔值等。</w:t>
      </w:r>
    </w:p>
    <w:p w14:paraId="360F8C90">
      <w:pPr>
        <w:pStyle w:val="4"/>
        <w:spacing w:before="240" w:after="120"/>
      </w:pPr>
      <w:r>
        <w:t>3. 为什么选择 YAML？</w:t>
      </w:r>
    </w:p>
    <w:p w14:paraId="55F2E598">
      <w:pPr>
        <w:spacing w:before="120" w:after="120"/>
      </w:pPr>
      <w:r>
        <w:t xml:space="preserve">相比 XML 的繁琐和 JSON 对注释的不友好，YAML 极其简洁，且支持 </w:t>
      </w:r>
      <w:r>
        <w:rPr>
          <w:rFonts w:ascii="Consolas" w:hAnsi="Consolas" w:eastAsia="Consolas" w:cs="Consolas"/>
          <w:b/>
          <w:bCs/>
          <w:sz w:val="20"/>
          <w:szCs w:val="20"/>
        </w:rPr>
        <w:t>#</w:t>
      </w:r>
      <w:r>
        <w:rPr>
          <w:b/>
          <w:bCs/>
        </w:rPr>
        <w:t xml:space="preserve"> 注释</w:t>
      </w:r>
      <w:r>
        <w:t>，非常适合作为项目的配置描述文件。</w:t>
      </w:r>
    </w:p>
    <w:p w14:paraId="509ED4AE">
      <w:pPr>
        <w:pBdr>
          <w:bottom w:val="single" w:color="CCCCCC" w:sz="6" w:space="0"/>
        </w:pBdr>
        <w:spacing w:before="200" w:after="200"/>
      </w:pPr>
    </w:p>
    <w:p w14:paraId="543F8E85">
      <w:pPr>
        <w:pStyle w:val="3"/>
        <w:spacing w:before="240" w:after="120"/>
      </w:pPr>
      <w:r>
        <w:t>五、 最佳实践建议</w:t>
      </w:r>
    </w:p>
    <w:p w14:paraId="6AA8221E">
      <w:pPr>
        <w:spacing w:before="60" w:after="60"/>
        <w:ind w:left="360"/>
      </w:pPr>
      <w:r>
        <w:t xml:space="preserve">1. </w:t>
      </w:r>
      <w:r>
        <w:rPr>
          <w:b/>
          <w:bCs/>
        </w:rPr>
        <w:t>先优化再拆分</w:t>
      </w:r>
      <w:r>
        <w:t>：优先考虑索引优化、SQL 优化和 Redis 缓存。</w:t>
      </w:r>
    </w:p>
    <w:p w14:paraId="4B603247">
      <w:pPr>
        <w:spacing w:before="60" w:after="60"/>
        <w:ind w:left="360"/>
      </w:pPr>
      <w:r>
        <w:t xml:space="preserve">2. </w:t>
      </w:r>
      <w:r>
        <w:rPr>
          <w:b/>
          <w:bCs/>
        </w:rPr>
        <w:t>读写分离先行</w:t>
      </w:r>
      <w:r>
        <w:t>：当读压力大时，先做读写分离。</w:t>
      </w:r>
    </w:p>
    <w:p w14:paraId="78050291">
      <w:pPr>
        <w:spacing w:before="60" w:after="60"/>
        <w:ind w:left="360"/>
      </w:pPr>
      <w:r>
        <w:t xml:space="preserve">3. </w:t>
      </w:r>
      <w:r>
        <w:rPr>
          <w:b/>
          <w:bCs/>
        </w:rPr>
        <w:t>分片键选择</w:t>
      </w:r>
      <w:r>
        <w:t xml:space="preserve">：分片键（Sharding Column）一旦选定不可更改，通常选择 </w:t>
      </w:r>
      <w:r>
        <w:rPr>
          <w:rFonts w:ascii="Consolas" w:hAnsi="Consolas" w:eastAsia="Consolas" w:cs="Consolas"/>
          <w:sz w:val="20"/>
          <w:szCs w:val="20"/>
        </w:rPr>
        <w:t>user_id</w:t>
      </w:r>
      <w:r>
        <w:t xml:space="preserve"> 或 </w:t>
      </w:r>
      <w:r>
        <w:rPr>
          <w:rFonts w:ascii="Consolas" w:hAnsi="Consolas" w:eastAsia="Consolas" w:cs="Consolas"/>
          <w:sz w:val="20"/>
          <w:szCs w:val="20"/>
        </w:rPr>
        <w:t>order_id</w:t>
      </w:r>
      <w:r>
        <w:t>。</w:t>
      </w:r>
    </w:p>
    <w:p w14:paraId="0DD8DE49">
      <w:pPr>
        <w:spacing w:before="60" w:after="60"/>
        <w:ind w:left="360"/>
      </w:pPr>
      <w:r>
        <w:t xml:space="preserve">4. </w:t>
      </w:r>
      <w:r>
        <w:rPr>
          <w:b/>
          <w:bCs/>
        </w:rPr>
        <w:t>避免全表扫描</w:t>
      </w:r>
      <w:r>
        <w:t>：所有查询 SQL 尽量带上分片键，否则 ShardingSphere 会扫描所有库表，性能大幅下降。</w:t>
      </w:r>
    </w:p>
    <w:p w14:paraId="31FAE499">
      <w:pPr>
        <w:pBdr>
          <w:bottom w:val="single" w:color="CCCCCC" w:sz="6" w:space="0"/>
        </w:pBdr>
        <w:spacing w:before="200" w:after="200"/>
      </w:pPr>
    </w:p>
    <w:p w14:paraId="3965C85A">
      <w:pPr>
        <w:spacing w:before="120" w:after="120"/>
      </w:pPr>
      <w:r>
        <w:rPr>
          <w:i/>
          <w:iCs/>
        </w:rPr>
        <w:t>生成时间：202</w:t>
      </w:r>
      <w:r>
        <w:rPr>
          <w:rFonts w:hint="eastAsia"/>
          <w:i/>
          <w:iCs/>
          <w:lang w:val="en-US" w:eastAsia="zh-CN"/>
        </w:rPr>
        <w:t>6</w:t>
      </w:r>
      <w:r>
        <w:rPr>
          <w:i/>
          <w:iCs/>
        </w:rPr>
        <w:t>年</w:t>
      </w:r>
      <w:r>
        <w:rPr>
          <w:rFonts w:hint="eastAsia"/>
          <w:i/>
          <w:iCs/>
          <w:lang w:val="en-US" w:eastAsia="zh-CN"/>
        </w:rPr>
        <w:t>8</w:t>
      </w:r>
      <w:r>
        <w:rPr>
          <w:i/>
          <w:iCs/>
        </w:rPr>
        <w:t>月</w:t>
      </w:r>
      <w:r>
        <w:t>
</w:t>
      </w:r>
      <w:r>
        <w:rPr>
          <w:i/>
          <w:iCs/>
        </w:rPr>
        <w:t>文档版本：v1.0</w:t>
      </w:r>
    </w:p>
    <w:p w14:paraId="0F0C369E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14DFE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2026-08-28T20:59:09Z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