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881" w:tblpY="789"/>
        <w:tblOverlap w:val="never"/>
        <w:tblW w:w="10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985"/>
        <w:gridCol w:w="857"/>
        <w:gridCol w:w="1072"/>
        <w:gridCol w:w="1200"/>
        <w:gridCol w:w="1511"/>
        <w:gridCol w:w="1864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Times New Roman" w:hAnsi="Times New Roman" w:cs="Times New Roman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Datasets</w:t>
            </w:r>
          </w:p>
        </w:tc>
        <w:tc>
          <w:tcPr>
            <w:tcW w:w="9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Table Numbers/ Doc</w:t>
            </w:r>
          </w:p>
        </w:tc>
        <w:tc>
          <w:tcPr>
            <w:tcW w:w="8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Object Type</w:t>
            </w:r>
          </w:p>
        </w:tc>
        <w:tc>
          <w:tcPr>
            <w:tcW w:w="10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Doc Numbers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Total Words</w:t>
            </w:r>
          </w:p>
        </w:tc>
        <w:tc>
          <w:tcPr>
            <w:tcW w:w="1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 xml:space="preserve">verage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W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ords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 xml:space="preserve"> / Doc</w:t>
            </w:r>
          </w:p>
        </w:tc>
        <w:tc>
          <w:tcPr>
            <w:tcW w:w="186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Total Filtered Words (%)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Total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2"/>
                <w:vertAlign w:val="baseline"/>
                <w:lang w:val="en-US" w:eastAsia="zh-CN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  <w:t>Rotowire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Event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4853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1637820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337.4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654614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(39.97%)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13, 20 / 13, 20 / 13,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  <w:t>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E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8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Entity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51426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1152364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22.4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565068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(49.04%)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7 / 7 /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  <w:t>Wikitabletext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8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Entity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13318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185111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13.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90</w:t>
            </w:r>
          </w:p>
        </w:tc>
        <w:tc>
          <w:tcPr>
            <w:tcW w:w="18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92634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(50.04%)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2443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(2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262 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791 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1022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  <w:t>Wikibio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8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Entity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728221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70257683</w:t>
            </w:r>
          </w:p>
        </w:tc>
        <w:tc>
          <w:tcPr>
            <w:tcW w:w="15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96.4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6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31768599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(45.22%)</w:t>
            </w:r>
          </w:p>
        </w:tc>
        <w:tc>
          <w:tcPr>
            <w:tcW w:w="19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2996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(2771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1400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1406)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  <w:t>CPL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85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Event</w:t>
            </w:r>
          </w:p>
        </w:tc>
        <w:tc>
          <w:tcPr>
            <w:tcW w:w="1072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850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  <w:t>1149207</w:t>
            </w:r>
          </w:p>
        </w:tc>
        <w:tc>
          <w:tcPr>
            <w:tcW w:w="151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1105.94</w:t>
            </w:r>
          </w:p>
        </w:tc>
        <w:tc>
          <w:tcPr>
            <w:tcW w:w="1864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</w:rPr>
              <w:t>753610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 xml:space="preserve"> (65.58%)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8, 89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OWM0ZjczZTg5NjBhZTE4NTlkMGRlMjIyMmVjMzgifQ=="/>
  </w:docVars>
  <w:rsids>
    <w:rsidRoot w:val="00000000"/>
    <w:rsid w:val="007A6F63"/>
    <w:rsid w:val="191F5A0F"/>
    <w:rsid w:val="1E0210E2"/>
    <w:rsid w:val="1FA2402F"/>
    <w:rsid w:val="261F5032"/>
    <w:rsid w:val="2886653D"/>
    <w:rsid w:val="29990521"/>
    <w:rsid w:val="2BBA718F"/>
    <w:rsid w:val="2E172006"/>
    <w:rsid w:val="2E2E1D13"/>
    <w:rsid w:val="2F3F3AEC"/>
    <w:rsid w:val="3035585F"/>
    <w:rsid w:val="39F57EC3"/>
    <w:rsid w:val="3AC727C9"/>
    <w:rsid w:val="400A6CD0"/>
    <w:rsid w:val="425A039A"/>
    <w:rsid w:val="48A7553D"/>
    <w:rsid w:val="49855267"/>
    <w:rsid w:val="51F14F31"/>
    <w:rsid w:val="54D658B6"/>
    <w:rsid w:val="54FC3103"/>
    <w:rsid w:val="58B87159"/>
    <w:rsid w:val="64754794"/>
    <w:rsid w:val="64805B23"/>
    <w:rsid w:val="72C36C5D"/>
    <w:rsid w:val="738564EC"/>
    <w:rsid w:val="744E49A0"/>
    <w:rsid w:val="7BB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2024-06-07T11:16:59Z</dcterms:created>
  <dc:creator>Administrator</dc:creator>
  <cp:lastModifiedBy>山木</cp:lastModifiedBy>
  <dcterms:modified xsi:type="dcterms:W3CDTF">2024-06-07T13:11:55Z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1B8EB649137049ADBA95ED95271620B1_12</vt:lpwstr>
  </property>
</Properties>
</file>