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DE8A" w14:textId="77777777" w:rsidR="00000000" w:rsidRDefault="0060265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任进娣与何耀保民间借贷纠纷一审民事判决书</w:t>
      </w:r>
    </w:p>
    <w:p w14:paraId="0E5611E1" w14:textId="77777777" w:rsidR="00000000" w:rsidRDefault="00602651">
      <w:pPr>
        <w:ind w:left="375" w:right="375"/>
        <w:rPr>
          <w:rFonts w:ascii="Arial" w:eastAsia="Arial" w:hAnsi="Arial" w:cs="Arial"/>
          <w:lang w:val="en-US" w:eastAsia="zh-CN" w:bidi="ar-SA"/>
        </w:rPr>
      </w:pPr>
      <w:r>
        <w:rPr>
          <w:rFonts w:ascii="Arial" w:eastAsia="Arial" w:hAnsi="Arial" w:cs="Arial"/>
          <w:lang w:val="en-US" w:eastAsia="zh-CN" w:bidi="ar-SA"/>
        </w:rPr>
        <w:br/>
      </w:r>
    </w:p>
    <w:p w14:paraId="16F88BA1" w14:textId="77777777" w:rsidR="00000000" w:rsidRDefault="0060265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任进娣与何耀保民间借贷纠纷一审民事判决书</w:t>
      </w:r>
    </w:p>
    <w:p w14:paraId="58115D61" w14:textId="77777777" w:rsidR="00000000" w:rsidRDefault="0060265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D382D6D" w14:textId="77777777" w:rsidR="00000000" w:rsidRDefault="00602651">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19727</w:t>
      </w:r>
      <w:r>
        <w:rPr>
          <w:rStyle w:val="span"/>
          <w:rFonts w:ascii="宋体" w:eastAsia="宋体" w:hAnsi="宋体" w:cs="宋体"/>
          <w:color w:val="000000"/>
          <w:sz w:val="27"/>
          <w:szCs w:val="27"/>
          <w:lang w:val="en-US" w:eastAsia="zh-CN" w:bidi="ar-SA"/>
        </w:rPr>
        <w:t>号</w:t>
      </w:r>
    </w:p>
    <w:p w14:paraId="5F338A9C" w14:textId="77777777" w:rsidR="00000000" w:rsidRDefault="0060265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原告：任进娣。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委托诉讼代理人：黄志宏，</w:t>
      </w:r>
      <w:hyperlink r:id="rId7" w:history="1">
        <w:r>
          <w:rPr>
            <w:rStyle w:val="fulltext-wrapfulltexta"/>
            <w:rFonts w:ascii="宋体" w:eastAsia="宋体" w:hAnsi="宋体" w:cs="宋体"/>
            <w:sz w:val="27"/>
            <w:szCs w:val="27"/>
            <w:lang w:val="en-US" w:eastAsia="zh-CN" w:bidi="ar-SA"/>
          </w:rPr>
          <w:t>上海君典律师事务所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委托诉讼代理人：黄路遥，</w:t>
      </w:r>
      <w:hyperlink r:id="rId8" w:history="1">
        <w:r>
          <w:rPr>
            <w:rStyle w:val="fulltext-wrapfulltexta"/>
            <w:rFonts w:ascii="宋体" w:eastAsia="宋体" w:hAnsi="宋体" w:cs="宋体"/>
            <w:sz w:val="27"/>
            <w:szCs w:val="27"/>
            <w:lang w:val="en-US" w:eastAsia="zh-CN" w:bidi="ar-SA"/>
          </w:rPr>
          <w:t>上海君典律师事务所</w:t>
        </w:r>
      </w:hyperlink>
      <w:r>
        <w:rPr>
          <w:rFonts w:ascii="宋体" w:eastAsia="宋体" w:hAnsi="宋体" w:cs="宋体"/>
          <w:color w:val="000000"/>
          <w:sz w:val="27"/>
          <w:szCs w:val="27"/>
          <w:lang w:val="en-US" w:eastAsia="zh-CN" w:bidi="ar-SA"/>
        </w:rPr>
        <w:t>律</w:t>
      </w:r>
      <w:r>
        <w:rPr>
          <w:rFonts w:ascii="宋体" w:eastAsia="宋体" w:hAnsi="宋体" w:cs="宋体"/>
          <w:color w:val="000000"/>
          <w:sz w:val="27"/>
          <w:szCs w:val="27"/>
          <w:lang w:val="en-US" w:eastAsia="zh-CN" w:bidi="ar-SA"/>
        </w:rPr>
        <w:t>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被告：何耀保。</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原告任进娣诉被告何耀保民间借贷纠纷一案，本院于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立案后，先适用简易程序审理，后因公告送达，本院依法适用普通程序公开开庭进行了审理。原告任进娣的委托诉讼代理人黄志宏到庭参加了诉讼。被告何耀保经本院依法传唤，无正当理由拒不到庭，本院依法缺席审判。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原告任进娣向本院提出诉讼请求：判令被告何耀保向原告归还借款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万元，并向原告支付以</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万元为本金，从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日起至实际清偿之日止，按年利率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计算的利息。事实和理由：</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被告向原告借款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万元并出具借条。虽然借条上没有约定利息，但是借款当时双方口头约定利息是按月息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分计算。后原告多次向被告催讨未果，故原告诉至法院。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被告何耀保未出庭答辩。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被告何耀保向原告出</w:t>
      </w:r>
      <w:r>
        <w:rPr>
          <w:rFonts w:ascii="宋体" w:eastAsia="宋体" w:hAnsi="宋体" w:cs="宋体"/>
          <w:color w:val="000000"/>
          <w:sz w:val="27"/>
          <w:szCs w:val="27"/>
          <w:lang w:val="en-US" w:eastAsia="zh-CN" w:bidi="ar-SA"/>
        </w:rPr>
        <w:lastRenderedPageBreak/>
        <w:t>具借条一份，该借条内容主要载明：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本人何耀保今向任进娣借人民币叁万元整</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本院认为，债权人有权要求债务人按照合同的约定或者依照法律的规定履行义务。本案中，原告提供的证据可以证明被告何耀保向原告借款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万元的事</w:t>
      </w:r>
      <w:r>
        <w:rPr>
          <w:rFonts w:ascii="宋体" w:eastAsia="宋体" w:hAnsi="宋体" w:cs="宋体"/>
          <w:color w:val="000000"/>
          <w:sz w:val="27"/>
          <w:szCs w:val="27"/>
          <w:lang w:val="en-US" w:eastAsia="zh-CN" w:bidi="ar-SA"/>
        </w:rPr>
        <w:t>实，现原告要求被告归还借款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的请求，于法不悖，本院予以支持。根据相关法律规定，自然人之间的借款合同对支付利息没有约定或者约定不明确的，视为不支付利息。本案当事人在借条中未约定利息，原告亦未提供其他证据足以佐证，故被告不需支付借期内利息。又因当事人未明确约定还款期限，故本院确定被告向原告支付以</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万元为本金，自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日起至实际清偿之日止，按年利率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计算的逾期利息。被告何耀保经本院依法传唤，无正当理由拒不到庭参加诉讼，系其放弃相应的诉讼权利，因此产生的法律后果由其自行承担。据此</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4"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5" w:anchor="tiao_29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被告何耀保于本判决生效之日起十日内归还原告任进娣借款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万元，并向原告任进娣支付以</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万元为本金</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日起至实际清偿之日止，按年利率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应当依照《</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253" w:history="1">
        <w:r>
          <w:rPr>
            <w:rStyle w:val="fulltext-wrapfulltexta"/>
            <w:rFonts w:ascii="宋体" w:eastAsia="宋体" w:hAnsi="宋体" w:cs="宋体"/>
            <w:sz w:val="27"/>
            <w:szCs w:val="27"/>
            <w:lang w:val="en-US" w:eastAsia="zh-CN" w:bidi="ar-SA"/>
          </w:rPr>
          <w:t>二百五</w:t>
        </w:r>
        <w:r>
          <w:rPr>
            <w:rStyle w:val="fulltext-wrapfulltexta"/>
            <w:rFonts w:ascii="宋体" w:eastAsia="宋体" w:hAnsi="宋体" w:cs="宋体"/>
            <w:sz w:val="27"/>
            <w:szCs w:val="27"/>
            <w:lang w:val="en-US" w:eastAsia="zh-CN" w:bidi="ar-SA"/>
          </w:rPr>
          <w:t>十三条</w:t>
        </w:r>
      </w:hyperlink>
      <w:r>
        <w:rPr>
          <w:rFonts w:ascii="宋体" w:eastAsia="宋体" w:hAnsi="宋体" w:cs="宋体"/>
          <w:color w:val="000000"/>
          <w:sz w:val="27"/>
          <w:szCs w:val="27"/>
          <w:lang w:val="en-US" w:eastAsia="zh-CN" w:bidi="ar-SA"/>
        </w:rPr>
        <w:t>之规定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980.05</w:t>
      </w:r>
      <w:r>
        <w:rPr>
          <w:rFonts w:ascii="宋体" w:eastAsia="宋体" w:hAnsi="宋体" w:cs="宋体"/>
          <w:color w:val="000000"/>
          <w:sz w:val="27"/>
          <w:szCs w:val="27"/>
          <w:lang w:val="en-US" w:eastAsia="zh-CN" w:bidi="ar-SA"/>
        </w:rPr>
        <w:t>元，由被告何耀保负担。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立案庭</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7595E9C" w14:textId="77777777" w:rsidR="00000000" w:rsidRDefault="00602651">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沈海星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梅国蓉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冷安宏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二〇一九年一月九日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谢燕娜</w:t>
      </w:r>
    </w:p>
    <w:p w14:paraId="1A8F5BA5" w14:textId="77777777" w:rsidR="00000000" w:rsidRDefault="00602651">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w:t>
      </w:r>
      <w:r>
        <w:rPr>
          <w:rFonts w:ascii="宋体" w:eastAsia="宋体" w:hAnsi="宋体" w:cs="宋体"/>
          <w:color w:val="000000"/>
          <w:sz w:val="27"/>
          <w:szCs w:val="27"/>
          <w:lang w:val="en-US" w:eastAsia="zh-CN" w:bidi="ar-SA"/>
        </w:rPr>
        <w:t>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20"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第二十九条第二款未约定逾期利率或者约定不明的，人民法院可以区分不同情况处理：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t xml:space="preserve">…… </w:t>
      </w:r>
    </w:p>
    <w:p w14:paraId="08BB7BAC" w14:textId="77777777" w:rsidR="00000000" w:rsidRDefault="00602651">
      <w:pPr>
        <w:ind w:left="375" w:right="375"/>
        <w:rPr>
          <w:rFonts w:ascii="Arial" w:eastAsia="Arial" w:hAnsi="Arial" w:cs="Arial"/>
          <w:lang w:val="en-US" w:eastAsia="zh-CN" w:bidi="ar-SA"/>
        </w:rPr>
      </w:pPr>
      <w:r>
        <w:rPr>
          <w:rFonts w:ascii="Arial" w:eastAsia="Arial" w:hAnsi="Arial" w:cs="Arial"/>
          <w:lang w:val="en-US" w:eastAsia="zh-CN" w:bidi="ar-SA"/>
        </w:rPr>
        <w:br/>
      </w:r>
    </w:p>
    <w:p w14:paraId="1B8427D7" w14:textId="77777777" w:rsidR="00000000" w:rsidRDefault="00A77B3E">
      <w:pPr>
        <w:spacing w:line="630" w:lineRule="atLeast"/>
        <w:rPr>
          <w:rFonts w:eastAsia="Times New Roman"/>
          <w:sz w:val="26"/>
          <w:szCs w:val="26"/>
          <w:lang w:val="en-US" w:eastAsia="zh-CN" w:bidi="ar-SA"/>
        </w:rPr>
      </w:pPr>
      <w:r>
        <w:br w:type="page"/>
      </w:r>
      <w:r w:rsidR="00602651">
        <w:rPr>
          <w:rFonts w:eastAsia="Times New Roman"/>
          <w:sz w:val="26"/>
          <w:szCs w:val="26"/>
          <w:lang w:val="en-US" w:eastAsia="zh-CN" w:bidi="ar-SA"/>
        </w:rPr>
        <w:t>©北大法宝：（</w:t>
      </w:r>
      <w:hyperlink r:id="rId21" w:history="1">
        <w:r w:rsidR="00602651">
          <w:rPr>
            <w:rFonts w:eastAsia="Times New Roman"/>
            <w:color w:val="218FC4"/>
            <w:sz w:val="26"/>
            <w:szCs w:val="26"/>
            <w:u w:val="single" w:color="218FC4"/>
            <w:lang w:val="en-US" w:eastAsia="zh-CN" w:bidi="ar-SA"/>
          </w:rPr>
          <w:t>www.pkulaw.com</w:t>
        </w:r>
      </w:hyperlink>
      <w:r w:rsidR="00602651">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2" w:tgtFrame="_blank" w:history="1">
        <w:r w:rsidR="00602651">
          <w:rPr>
            <w:rFonts w:eastAsia="Times New Roman"/>
            <w:color w:val="218FC4"/>
            <w:sz w:val="26"/>
            <w:szCs w:val="26"/>
            <w:u w:val="single" w:color="218FC4"/>
            <w:lang w:val="en-US" w:eastAsia="zh-CN" w:bidi="ar-SA"/>
          </w:rPr>
          <w:t>产品和服务</w:t>
        </w:r>
      </w:hyperlink>
      <w:r w:rsidR="00602651">
        <w:rPr>
          <w:rFonts w:eastAsia="Times New Roman"/>
          <w:sz w:val="26"/>
          <w:szCs w:val="26"/>
          <w:lang w:val="en-US" w:eastAsia="zh-CN" w:bidi="ar-SA"/>
        </w:rPr>
        <w:t>。</w:t>
      </w:r>
      <w:r w:rsidR="00602651">
        <w:rPr>
          <w:rFonts w:eastAsia="Times New Roman"/>
          <w:sz w:val="26"/>
          <w:szCs w:val="26"/>
          <w:lang w:val="en-US" w:eastAsia="zh-CN" w:bidi="ar-SA"/>
        </w:rPr>
        <w:br/>
      </w:r>
      <w:hyperlink r:id="rId23" w:tgtFrame="_blank" w:history="1">
        <w:r w:rsidR="00602651">
          <w:rPr>
            <w:rFonts w:eastAsia="Times New Roman"/>
            <w:color w:val="218FC4"/>
            <w:sz w:val="26"/>
            <w:szCs w:val="26"/>
            <w:u w:val="single" w:color="218FC4"/>
            <w:lang w:val="en-US" w:eastAsia="zh-CN" w:bidi="ar-SA"/>
          </w:rPr>
          <w:t>法宝快讯： 如何快速找到您需要的检索</w:t>
        </w:r>
        <w:r w:rsidR="00602651">
          <w:rPr>
            <w:rFonts w:eastAsia="Times New Roman"/>
            <w:color w:val="218FC4"/>
            <w:sz w:val="26"/>
            <w:szCs w:val="26"/>
            <w:u w:val="single" w:color="218FC4"/>
            <w:lang w:val="en-US" w:eastAsia="zh-CN" w:bidi="ar-SA"/>
          </w:rPr>
          <w:t>结果？ 法宝 V6 有何新特色？</w:t>
        </w:r>
      </w:hyperlink>
    </w:p>
    <w:p w14:paraId="37F918FB" w14:textId="77777777" w:rsidR="00000000" w:rsidRDefault="00602651">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6A401FA9" w14:textId="77777777" w:rsidR="00000000" w:rsidRDefault="00602651">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90B855D" w14:textId="77777777" w:rsidR="00000000" w:rsidRDefault="00602651">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 xml:space="preserve">https://www.pkulaw.com/pfnl/a6bdb3332ec0adc40451a714f244f473140d674fadc03be3bdfb.html </w:t>
        </w:r>
      </w:hyperlink>
    </w:p>
    <w:p w14:paraId="0A081B01"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3D72" w14:textId="77777777" w:rsidR="00000000" w:rsidRDefault="00602651">
      <w:r>
        <w:separator/>
      </w:r>
    </w:p>
  </w:endnote>
  <w:endnote w:type="continuationSeparator" w:id="0">
    <w:p w14:paraId="2161CBE3" w14:textId="77777777" w:rsidR="00000000" w:rsidRDefault="0060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244718E" w14:textId="77777777">
      <w:trPr>
        <w:tblCellSpacing w:w="15" w:type="dxa"/>
      </w:trPr>
      <w:tc>
        <w:tcPr>
          <w:tcW w:w="1530" w:type="dxa"/>
          <w:tcMar>
            <w:top w:w="15" w:type="dxa"/>
            <w:left w:w="15" w:type="dxa"/>
            <w:bottom w:w="15" w:type="dxa"/>
            <w:right w:w="15" w:type="dxa"/>
          </w:tcMar>
          <w:vAlign w:val="center"/>
          <w:hideMark/>
        </w:tcPr>
        <w:p w14:paraId="77EC94AB" w14:textId="77777777" w:rsidR="00000000" w:rsidRDefault="00602651">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A1066CC" w14:textId="77777777" w:rsidR="00000000" w:rsidRDefault="0060265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6C53F6F" w14:textId="77777777" w:rsidR="00000000" w:rsidRDefault="006026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9D26" w14:textId="77777777" w:rsidR="00000000" w:rsidRDefault="00602651">
      <w:r>
        <w:separator/>
      </w:r>
    </w:p>
  </w:footnote>
  <w:footnote w:type="continuationSeparator" w:id="0">
    <w:p w14:paraId="5F8051E3" w14:textId="77777777" w:rsidR="00000000" w:rsidRDefault="00602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2907EDC" w14:textId="77777777">
      <w:trPr>
        <w:tblCellSpacing w:w="15" w:type="dxa"/>
      </w:trPr>
      <w:tc>
        <w:tcPr>
          <w:tcW w:w="0" w:type="auto"/>
          <w:tcMar>
            <w:top w:w="15" w:type="dxa"/>
            <w:left w:w="15" w:type="dxa"/>
            <w:bottom w:w="15" w:type="dxa"/>
            <w:right w:w="15" w:type="dxa"/>
          </w:tcMar>
          <w:vAlign w:val="center"/>
          <w:hideMark/>
        </w:tcPr>
        <w:p w14:paraId="4A39B35B" w14:textId="77777777" w:rsidR="00000000" w:rsidRDefault="00602651">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2A2973B" w14:textId="77777777" w:rsidR="00000000" w:rsidRDefault="0060265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w:t>
          </w:r>
          <w:r>
            <w:rPr>
              <w:rFonts w:ascii="宋体" w:eastAsia="宋体" w:hAnsi="宋体" w:cs="宋体"/>
              <w:color w:val="000000"/>
              <w:sz w:val="23"/>
              <w:szCs w:val="23"/>
              <w:lang w:val="en-US" w:eastAsia="zh-CN" w:bidi="ar-SA"/>
            </w:rPr>
            <w:t>84128959</w:t>
          </w:r>
        </w:p>
      </w:tc>
    </w:tr>
  </w:tbl>
  <w:p w14:paraId="0C5FA241" w14:textId="77777777" w:rsidR="00000000" w:rsidRDefault="006026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0265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54A9DA"/>
  <w15:chartTrackingRefBased/>
  <w15:docId w15:val="{4425637A-9790-4655-9392-D0CE93F9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6026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02651"/>
    <w:rPr>
      <w:sz w:val="18"/>
      <w:szCs w:val="18"/>
    </w:rPr>
  </w:style>
  <w:style w:type="paragraph" w:styleId="a5">
    <w:name w:val="footer"/>
    <w:basedOn w:val="a"/>
    <w:link w:val="a6"/>
    <w:rsid w:val="00602651"/>
    <w:pPr>
      <w:tabs>
        <w:tab w:val="center" w:pos="4153"/>
        <w:tab w:val="right" w:pos="8306"/>
      </w:tabs>
      <w:snapToGrid w:val="0"/>
    </w:pPr>
    <w:rPr>
      <w:sz w:val="18"/>
      <w:szCs w:val="18"/>
    </w:rPr>
  </w:style>
  <w:style w:type="character" w:customStyle="1" w:styleId="a6">
    <w:name w:val="页脚 字符"/>
    <w:basedOn w:val="a0"/>
    <w:link w:val="a5"/>
    <w:rsid w:val="00602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1531;&#20856;&#24459;&#24072;&#20107;&#21153;&#25152;')"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javascript:LawFirmSearch('&#19978;&#28023;&#21531;&#20856;&#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pfnl/a6bdb3332ec0adc40451a714f244f473140d674fadc03be3bdfb.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a2f720580aa7c0c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d33df017c784876f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