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59BD" w14:textId="77777777" w:rsidR="00000000" w:rsidRDefault="004A0BD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肖玉国与上海融信置业有限公司、史民救民间借贷纠纷案</w:t>
      </w:r>
    </w:p>
    <w:p w14:paraId="5AE89115" w14:textId="77777777" w:rsidR="00000000" w:rsidRDefault="004A0BD1">
      <w:pPr>
        <w:ind w:left="375" w:right="375"/>
        <w:rPr>
          <w:rFonts w:ascii="Arial" w:eastAsia="Arial" w:hAnsi="Arial" w:cs="Arial"/>
          <w:lang w:val="en-US" w:eastAsia="zh-CN" w:bidi="ar-SA"/>
        </w:rPr>
      </w:pPr>
      <w:r>
        <w:rPr>
          <w:rFonts w:ascii="Arial" w:eastAsia="Arial" w:hAnsi="Arial" w:cs="Arial"/>
          <w:lang w:val="en-US" w:eastAsia="zh-CN" w:bidi="ar-SA"/>
        </w:rPr>
        <w:br/>
      </w:r>
    </w:p>
    <w:p w14:paraId="2712C246" w14:textId="77777777" w:rsidR="00000000" w:rsidRDefault="004A0BD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肖玉国与上海融信置业有限公司、史民救民间借贷纠纷案</w:t>
      </w:r>
    </w:p>
    <w:p w14:paraId="15B3C3A2" w14:textId="77777777" w:rsidR="00000000" w:rsidRDefault="004A0BD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C64ED47" w14:textId="77777777" w:rsidR="00000000" w:rsidRDefault="004A0BD1">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徐民二</w:t>
      </w:r>
      <w:r>
        <w:rPr>
          <w:rStyle w:val="span"/>
          <w:rFonts w:ascii="宋体" w:eastAsia="宋体" w:hAnsi="宋体" w:cs="宋体"/>
          <w:color w:val="000000"/>
          <w:sz w:val="27"/>
          <w:szCs w:val="27"/>
          <w:lang w:val="en-US" w:eastAsia="zh-CN" w:bidi="ar-SA"/>
        </w:rPr>
        <w:t>(</w:t>
      </w:r>
      <w:r>
        <w:rPr>
          <w:rStyle w:val="span"/>
          <w:rFonts w:ascii="宋体" w:eastAsia="宋体" w:hAnsi="宋体" w:cs="宋体"/>
          <w:color w:val="000000"/>
          <w:sz w:val="27"/>
          <w:szCs w:val="27"/>
          <w:lang w:val="en-US" w:eastAsia="zh-CN" w:bidi="ar-SA"/>
        </w:rPr>
        <w:t>商</w:t>
      </w:r>
      <w:r>
        <w:rPr>
          <w:rStyle w:val="span"/>
          <w:rFonts w:ascii="宋体" w:eastAsia="宋体" w:hAnsi="宋体" w:cs="宋体"/>
          <w:color w:val="000000"/>
          <w:sz w:val="27"/>
          <w:szCs w:val="27"/>
          <w:lang w:val="en-US" w:eastAsia="zh-CN" w:bidi="ar-SA"/>
        </w:rPr>
        <w:t>)</w:t>
      </w:r>
      <w:r>
        <w:rPr>
          <w:rStyle w:val="span"/>
          <w:rFonts w:ascii="宋体" w:eastAsia="宋体" w:hAnsi="宋体" w:cs="宋体"/>
          <w:color w:val="000000"/>
          <w:sz w:val="27"/>
          <w:szCs w:val="27"/>
          <w:lang w:val="en-US" w:eastAsia="zh-CN" w:bidi="ar-SA"/>
        </w:rPr>
        <w:t>初字第</w:t>
      </w:r>
      <w:r>
        <w:rPr>
          <w:rStyle w:val="span"/>
          <w:rFonts w:ascii="宋体" w:eastAsia="宋体" w:hAnsi="宋体" w:cs="宋体"/>
          <w:color w:val="000000"/>
          <w:sz w:val="27"/>
          <w:szCs w:val="27"/>
          <w:lang w:val="en-US" w:eastAsia="zh-CN" w:bidi="ar-SA"/>
        </w:rPr>
        <w:t>13562</w:t>
      </w:r>
      <w:r>
        <w:rPr>
          <w:rStyle w:val="span"/>
          <w:rFonts w:ascii="宋体" w:eastAsia="宋体" w:hAnsi="宋体" w:cs="宋体"/>
          <w:color w:val="000000"/>
          <w:sz w:val="27"/>
          <w:szCs w:val="27"/>
          <w:lang w:val="en-US" w:eastAsia="zh-CN" w:bidi="ar-SA"/>
        </w:rPr>
        <w:t>号</w:t>
      </w:r>
    </w:p>
    <w:p w14:paraId="36EF84F3" w14:textId="77777777" w:rsidR="00000000" w:rsidRDefault="004A0BD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原告肖玉国。委托代理人王树青，上海中夏旭波律师事务所律师。被告史民救。被告</w:t>
      </w:r>
      <w:hyperlink r:id="rId7"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，住所地上海市普陀区。法定代表人范奕，职务不详。原告肖玉国诉被告史民救、</w:t>
      </w:r>
      <w:hyperlink r:id="rId8"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民间借贷纠纷一案，我院于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日受理后，依法适用普通程序，于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日公开开庭进行了审理。原告的委托代理人王树青到庭参加诉讼。被告史民救、</w:t>
      </w:r>
      <w:hyperlink r:id="rId9"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经本院公告传唤，无正当理由拒不到庭。本案现已审理终结。原告肖玉国诉称，</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日经朋友介绍，两被告找到原告，因</w:t>
      </w:r>
      <w:r>
        <w:rPr>
          <w:rFonts w:ascii="宋体" w:eastAsia="宋体" w:hAnsi="宋体" w:cs="宋体"/>
          <w:color w:val="000000"/>
          <w:sz w:val="27"/>
          <w:szCs w:val="27"/>
          <w:lang w:val="en-US" w:eastAsia="zh-CN" w:bidi="ar-SA"/>
        </w:rPr>
        <w:t>生产经营需要希望向原告借款</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人民币，下同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。当日，被告史民救和被告</w:t>
      </w:r>
      <w:hyperlink r:id="rId10"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法定代表人范奕共同签署借条一张，约定两被告共同向原告借款</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万元，借期</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个月，月利息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，到期后一次性付清本息。被告史民救在借条上签字、备注身份证号并盖手印。被告</w:t>
      </w:r>
      <w:hyperlink r:id="rId11"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在借条上加盖</w:t>
      </w:r>
      <w:r>
        <w:rPr>
          <w:rFonts w:ascii="宋体" w:eastAsia="宋体" w:hAnsi="宋体" w:cs="宋体"/>
          <w:color w:val="000000"/>
          <w:sz w:val="27"/>
          <w:szCs w:val="27"/>
          <w:lang w:val="en-US" w:eastAsia="zh-CN" w:bidi="ar-SA"/>
        </w:rPr>
        <w:t>公章。借款当日，被告</w:t>
      </w:r>
      <w:hyperlink r:id="rId12"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还向原告出具了公司股东会决议，确认公司全体股东一致同意借款，并要求借款资金打入被告史民救名下的招商银行</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户内。该股东会决议有股东范奕和史民救签字按印，并加盖公司公章。据工商登记信息显示，被告</w:t>
      </w:r>
      <w:hyperlink r:id="rId13"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的股东只有两人，即范奕和史民救。</w:t>
      </w:r>
      <w:r>
        <w:rPr>
          <w:rFonts w:ascii="宋体" w:eastAsia="宋体" w:hAnsi="宋体" w:cs="宋体"/>
          <w:color w:val="000000"/>
          <w:sz w:val="27"/>
          <w:szCs w:val="27"/>
          <w:lang w:val="en-US" w:eastAsia="zh-CN" w:bidi="ar-SA"/>
        </w:rPr>
        <w:t>同日，原告通过交通银行，分五次共转账</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万元至被告史民救名下的招商银</w:t>
      </w:r>
      <w:r>
        <w:rPr>
          <w:rFonts w:ascii="宋体" w:eastAsia="宋体" w:hAnsi="宋体" w:cs="宋体"/>
          <w:color w:val="000000"/>
          <w:sz w:val="27"/>
          <w:szCs w:val="27"/>
          <w:lang w:val="en-US" w:eastAsia="zh-CN" w:bidi="ar-SA"/>
        </w:rPr>
        <w:lastRenderedPageBreak/>
        <w:t>行</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内。借款期内，两被告按月以现金方式支付原告利息。借款到期后，两被告均未归还本金，但仍以现金方式按月支付利息，直至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日。此后，原告多次找两被告催讨，但两被告未再支付利息，也未归还本金。原告故诉至法院，请求判令两被告：</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、归还原告借款本金</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、支付原告借款利息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以本金</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万元为基数，按月息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日起至实际还款之日止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、承担本案诉讼费。被告史民救、</w:t>
      </w:r>
      <w:hyperlink r:id="rId14"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未到庭答辩。鉴于被告未到庭应诉，本院对原告的陈述及提供的证据，进行核对，经审理查明，确认原告所述事实属实。本院认为，原告与两被告之间达成的借款协议系各方当事人真实意思表示，不违反法律规定，合法有效，双方均应按约履行。原告已按约向两被告交付款项，两被告理应按约还本付息。现两被告未按约归还借款及支付利息，显有过错，故原告要求被告归还借款、支付利息的诉讼请求本院予以支持。审理中，被告史民救、</w:t>
      </w:r>
      <w:hyperlink r:id="rId15" w:history="1">
        <w:r>
          <w:rPr>
            <w:rStyle w:val="fulltext-wrapfulltexta"/>
            <w:rFonts w:ascii="宋体" w:eastAsia="宋体" w:hAnsi="宋体" w:cs="宋体"/>
            <w:sz w:val="27"/>
            <w:szCs w:val="27"/>
            <w:lang w:val="en-US" w:eastAsia="zh-CN" w:bidi="ar-SA"/>
          </w:rPr>
          <w:t>上海融信置业有限公司</w:t>
        </w:r>
      </w:hyperlink>
      <w:r>
        <w:rPr>
          <w:rFonts w:ascii="宋体" w:eastAsia="宋体" w:hAnsi="宋体" w:cs="宋体"/>
          <w:color w:val="000000"/>
          <w:sz w:val="27"/>
          <w:szCs w:val="27"/>
          <w:lang w:val="en-US" w:eastAsia="zh-CN" w:bidi="ar-SA"/>
        </w:rPr>
        <w:t>经本院合法传唤，无正当理由拒不到庭，应视为对其诉讼权利的放弃。据此，依照《</w:t>
      </w:r>
      <w:hyperlink r:id="rId16"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hyperlink r:id="rId17" w:anchor="tiao_196" w:history="1">
        <w:r>
          <w:rPr>
            <w:rStyle w:val="fulltext-wrapfulltexta"/>
            <w:rFonts w:ascii="宋体" w:eastAsia="宋体" w:hAnsi="宋体" w:cs="宋体"/>
            <w:sz w:val="27"/>
            <w:szCs w:val="27"/>
            <w:lang w:val="en-US" w:eastAsia="zh-CN" w:bidi="ar-SA"/>
          </w:rPr>
          <w:t>一百九十六条</w:t>
        </w:r>
      </w:hyperlink>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9"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20" w:anchor="tiao_29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21" w:anchor="tiao_29_kuan_1_xiang_2" w:history="1">
        <w:r>
          <w:rPr>
            <w:rStyle w:val="fulltext-wrapfulltexta"/>
            <w:rFonts w:ascii="宋体" w:eastAsia="宋体" w:hAnsi="宋体" w:cs="宋体"/>
            <w:sz w:val="27"/>
            <w:szCs w:val="27"/>
            <w:lang w:val="en-US" w:eastAsia="zh-CN" w:bidi="ar-SA"/>
          </w:rPr>
          <w:t>二项</w:t>
        </w:r>
      </w:hyperlink>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3" w:anchor="tiao_64" w:history="1">
        <w:r>
          <w:rPr>
            <w:rStyle w:val="fulltext-wrapfulltexta"/>
            <w:rFonts w:ascii="宋体" w:eastAsia="宋体" w:hAnsi="宋体" w:cs="宋体"/>
            <w:sz w:val="27"/>
            <w:szCs w:val="27"/>
            <w:lang w:val="en-US" w:eastAsia="zh-CN" w:bidi="ar-SA"/>
          </w:rPr>
          <w:t>六十四条</w:t>
        </w:r>
      </w:hyperlink>
      <w:r>
        <w:rPr>
          <w:rFonts w:ascii="宋体" w:eastAsia="宋体" w:hAnsi="宋体" w:cs="宋体"/>
          <w:color w:val="000000"/>
          <w:sz w:val="27"/>
          <w:szCs w:val="27"/>
          <w:lang w:val="en-US" w:eastAsia="zh-CN" w:bidi="ar-SA"/>
        </w:rPr>
        <w:t>第</w:t>
      </w:r>
      <w:hyperlink r:id="rId24" w:anchor="tiao_64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25"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2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28"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的规定，判决如下：一、被告史民救、上海融信置业有限公司应于本判决生效之日起十日内归还原告肖玉国借款本金</w:t>
      </w:r>
      <w:r>
        <w:rPr>
          <w:rFonts w:ascii="宋体" w:eastAsia="宋体" w:hAnsi="宋体" w:cs="宋体"/>
          <w:color w:val="000000"/>
          <w:sz w:val="27"/>
          <w:szCs w:val="27"/>
          <w:lang w:val="en-US" w:eastAsia="zh-CN" w:bidi="ar-SA"/>
        </w:rPr>
        <w:t>400,000</w:t>
      </w:r>
      <w:r>
        <w:rPr>
          <w:rFonts w:ascii="宋体" w:eastAsia="宋体" w:hAnsi="宋体" w:cs="宋体"/>
          <w:color w:val="000000"/>
          <w:sz w:val="27"/>
          <w:szCs w:val="27"/>
          <w:lang w:val="en-US" w:eastAsia="zh-CN" w:bidi="ar-SA"/>
        </w:rPr>
        <w:t>元；二、被告史民救、上海融信置业有限公司应于本判决生效之日起十日内支付原告肖玉国资金占用期间利息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以本金</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日起算至实际支付之日止，按月利率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。案件受理费</w:t>
      </w:r>
      <w:r>
        <w:rPr>
          <w:rFonts w:ascii="宋体" w:eastAsia="宋体" w:hAnsi="宋体" w:cs="宋体"/>
          <w:color w:val="000000"/>
          <w:sz w:val="27"/>
          <w:szCs w:val="27"/>
          <w:lang w:val="en-US" w:eastAsia="zh-CN" w:bidi="ar-SA"/>
        </w:rPr>
        <w:t>7,540</w:t>
      </w:r>
      <w:r>
        <w:rPr>
          <w:rFonts w:ascii="宋体" w:eastAsia="宋体" w:hAnsi="宋体" w:cs="宋体"/>
          <w:color w:val="000000"/>
          <w:sz w:val="27"/>
          <w:szCs w:val="27"/>
          <w:lang w:val="en-US" w:eastAsia="zh-CN" w:bidi="ar-SA"/>
        </w:rPr>
        <w:t>元，由被告史民救、上海融信置业有限公司负担。如不服本判决，可在判决书送达之日起十五日内，向本院递交上诉状，并按对方当事人的人数提出副本，上诉于上海市第一中级人民法院。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1" w:name="anchor-3"/>
      <w:bookmarkEnd w:id="1"/>
    </w:p>
    <w:p w14:paraId="1DCC350C" w14:textId="77777777" w:rsidR="00000000" w:rsidRDefault="004A0BD1">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刘　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代理审判员　　殷唯青</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朱亚平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二〇一六年三月二十五日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万冯沁</w:t>
      </w:r>
    </w:p>
    <w:p w14:paraId="3E1BCDE0" w14:textId="77777777" w:rsidR="00000000" w:rsidRDefault="004A0BD1">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2" w:name="anchor-4"/>
      <w:bookmarkEnd w:id="2"/>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2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30" w:anchor="tiao_196" w:history="1">
        <w:r>
          <w:rPr>
            <w:rStyle w:val="fulltext-wrapfulltexta"/>
            <w:rFonts w:ascii="宋体" w:eastAsia="宋体" w:hAnsi="宋体" w:cs="宋体"/>
            <w:sz w:val="27"/>
            <w:szCs w:val="27"/>
            <w:lang w:val="en-US" w:eastAsia="zh-CN" w:bidi="ar-SA"/>
          </w:rPr>
          <w:t>一百九十六条</w:t>
        </w:r>
      </w:hyperlink>
      <w:r>
        <w:rPr>
          <w:rFonts w:ascii="宋体" w:eastAsia="宋体" w:hAnsi="宋体" w:cs="宋体"/>
          <w:color w:val="000000"/>
          <w:sz w:val="27"/>
          <w:szCs w:val="27"/>
          <w:lang w:val="en-US" w:eastAsia="zh-CN" w:bidi="ar-SA"/>
        </w:rPr>
        <w:t>借款合同是借款人向贷款人借款，到期返还借款并支付利息的合同。二、《</w:t>
      </w:r>
      <w:hyperlink r:id="rId3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32"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为限。未约定逾期利率或者约定不明的，人民法院可以区分不同情况处理：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w:t>
      </w:r>
      <w:r>
        <w:rPr>
          <w:rFonts w:ascii="宋体" w:eastAsia="宋体" w:hAnsi="宋体" w:cs="宋体"/>
          <w:color w:val="000000"/>
          <w:sz w:val="27"/>
          <w:szCs w:val="27"/>
          <w:lang w:val="en-US" w:eastAsia="zh-CN" w:bidi="ar-SA"/>
        </w:rPr>
        <w:t>息的，人民法院应予支持。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三、《</w:t>
      </w:r>
      <w:hyperlink r:id="rId3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34" w:anchor="tiao_64" w:history="1">
        <w:r>
          <w:rPr>
            <w:rStyle w:val="fulltext-wrapfulltexta"/>
            <w:rFonts w:ascii="宋体" w:eastAsia="宋体" w:hAnsi="宋体" w:cs="宋体"/>
            <w:sz w:val="27"/>
            <w:szCs w:val="27"/>
            <w:lang w:val="en-US" w:eastAsia="zh-CN" w:bidi="ar-SA"/>
          </w:rPr>
          <w:t>六十四条</w:t>
        </w:r>
      </w:hyperlink>
      <w:r>
        <w:rPr>
          <w:rFonts w:ascii="宋体" w:eastAsia="宋体" w:hAnsi="宋体" w:cs="宋体"/>
          <w:color w:val="000000"/>
          <w:sz w:val="27"/>
          <w:szCs w:val="27"/>
          <w:lang w:val="en-US" w:eastAsia="zh-CN" w:bidi="ar-SA"/>
        </w:rPr>
        <w:t>当事人对自己提出的主张，有责任提供证据。</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第九十二条受送达人下落不明，或者用本节规定的</w:t>
      </w:r>
      <w:r>
        <w:rPr>
          <w:rFonts w:ascii="宋体" w:eastAsia="宋体" w:hAnsi="宋体" w:cs="宋体"/>
          <w:color w:val="000000"/>
          <w:sz w:val="27"/>
          <w:szCs w:val="27"/>
          <w:lang w:val="en-US" w:eastAsia="zh-CN" w:bidi="ar-SA"/>
        </w:rPr>
        <w:t>其他方式无法送达的，公告送达。自发出公告之日起，经过六十日，即视为送达。公告送达，应当在案卷中记明原因和经过。第一百四十四条被告经传票传唤，无正当理由拒不到庭的，或者未经法庭许可中途退庭的，可以缺席判决。四、《</w:t>
      </w:r>
      <w:hyperlink r:id="rId35"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36"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当事人对自己提出的诉讼请求所依据的事实或者反驳对方诉讼请求所依据的事实有责任提供证据加以证明。没有证据或者证据不足以证明当事人的事实主张的，由负有举证责任的当事人承担不利后果。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4BB5CCE9" w14:textId="77777777" w:rsidR="00000000" w:rsidRDefault="004A0BD1">
      <w:pPr>
        <w:ind w:left="375" w:right="375"/>
        <w:rPr>
          <w:rFonts w:ascii="Arial" w:eastAsia="Arial" w:hAnsi="Arial" w:cs="Arial"/>
          <w:lang w:val="en-US" w:eastAsia="zh-CN" w:bidi="ar-SA"/>
        </w:rPr>
      </w:pPr>
      <w:r>
        <w:rPr>
          <w:rFonts w:ascii="Arial" w:eastAsia="Arial" w:hAnsi="Arial" w:cs="Arial"/>
          <w:lang w:val="en-US" w:eastAsia="zh-CN" w:bidi="ar-SA"/>
        </w:rPr>
        <w:br/>
      </w:r>
    </w:p>
    <w:p w14:paraId="1882EBE0" w14:textId="77777777" w:rsidR="00000000" w:rsidRDefault="00A77B3E">
      <w:pPr>
        <w:spacing w:line="630" w:lineRule="atLeast"/>
        <w:rPr>
          <w:rFonts w:eastAsia="Times New Roman"/>
          <w:sz w:val="26"/>
          <w:szCs w:val="26"/>
          <w:lang w:val="en-US" w:eastAsia="zh-CN" w:bidi="ar-SA"/>
        </w:rPr>
      </w:pPr>
      <w:r>
        <w:br w:type="page"/>
      </w:r>
      <w:r w:rsidR="004A0BD1">
        <w:rPr>
          <w:rFonts w:eastAsia="Times New Roman"/>
          <w:sz w:val="26"/>
          <w:szCs w:val="26"/>
          <w:lang w:val="en-US" w:eastAsia="zh-CN" w:bidi="ar-SA"/>
        </w:rPr>
        <w:t>©北大法宝：（</w:t>
      </w:r>
      <w:hyperlink r:id="rId37" w:history="1">
        <w:r w:rsidR="004A0BD1">
          <w:rPr>
            <w:rFonts w:eastAsia="Times New Roman"/>
            <w:color w:val="218FC4"/>
            <w:sz w:val="26"/>
            <w:szCs w:val="26"/>
            <w:u w:val="single" w:color="218FC4"/>
            <w:lang w:val="en-US" w:eastAsia="zh-CN" w:bidi="ar-SA"/>
          </w:rPr>
          <w:t>www.pkulaw.com</w:t>
        </w:r>
      </w:hyperlink>
      <w:r w:rsidR="004A0BD1">
        <w:rPr>
          <w:rFonts w:eastAsia="Times New Roman"/>
          <w:sz w:val="26"/>
          <w:szCs w:val="26"/>
          <w:lang w:val="en-US" w:eastAsia="zh-CN" w:bidi="ar-SA"/>
        </w:rPr>
        <w:t>）专业提供法律信息、法学知识和法律软件领域各类解决方案。北大法宝为您提供丰富的参考资料，正式引用法规条文时请</w:t>
      </w:r>
      <w:r w:rsidR="004A0BD1">
        <w:rPr>
          <w:rFonts w:eastAsia="Times New Roman"/>
          <w:sz w:val="26"/>
          <w:szCs w:val="26"/>
          <w:lang w:val="en-US" w:eastAsia="zh-CN" w:bidi="ar-SA"/>
        </w:rPr>
        <w:t>与标准文本核对。 欢迎查看所有</w:t>
      </w:r>
      <w:hyperlink r:id="rId38" w:tgtFrame="_blank" w:history="1">
        <w:r w:rsidR="004A0BD1">
          <w:rPr>
            <w:rFonts w:eastAsia="Times New Roman"/>
            <w:color w:val="218FC4"/>
            <w:sz w:val="26"/>
            <w:szCs w:val="26"/>
            <w:u w:val="single" w:color="218FC4"/>
            <w:lang w:val="en-US" w:eastAsia="zh-CN" w:bidi="ar-SA"/>
          </w:rPr>
          <w:t>产品和服务</w:t>
        </w:r>
      </w:hyperlink>
      <w:r w:rsidR="004A0BD1">
        <w:rPr>
          <w:rFonts w:eastAsia="Times New Roman"/>
          <w:sz w:val="26"/>
          <w:szCs w:val="26"/>
          <w:lang w:val="en-US" w:eastAsia="zh-CN" w:bidi="ar-SA"/>
        </w:rPr>
        <w:t>。</w:t>
      </w:r>
      <w:r w:rsidR="004A0BD1">
        <w:rPr>
          <w:rFonts w:eastAsia="Times New Roman"/>
          <w:sz w:val="26"/>
          <w:szCs w:val="26"/>
          <w:lang w:val="en-US" w:eastAsia="zh-CN" w:bidi="ar-SA"/>
        </w:rPr>
        <w:br/>
      </w:r>
      <w:hyperlink r:id="rId39" w:tgtFrame="_blank" w:history="1">
        <w:r w:rsidR="004A0BD1">
          <w:rPr>
            <w:rFonts w:eastAsia="Times New Roman"/>
            <w:color w:val="218FC4"/>
            <w:sz w:val="26"/>
            <w:szCs w:val="26"/>
            <w:u w:val="single" w:color="218FC4"/>
            <w:lang w:val="en-US" w:eastAsia="zh-CN" w:bidi="ar-SA"/>
          </w:rPr>
          <w:t>法宝快讯： 如何快速找到您需要的检索结果？ 法宝 V6 有何新特色？</w:t>
        </w:r>
      </w:hyperlink>
    </w:p>
    <w:p w14:paraId="719FB30F" w14:textId="77777777" w:rsidR="00000000" w:rsidRDefault="004A0BD1">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40" o:title=""/>
          </v:shape>
        </w:pict>
      </w:r>
    </w:p>
    <w:p w14:paraId="16A5399E" w14:textId="77777777" w:rsidR="00000000" w:rsidRDefault="004A0BD1">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BA01CEB" w14:textId="77777777" w:rsidR="00000000" w:rsidRDefault="004A0BD1">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41" w:tgtFrame="_blank" w:history="1">
        <w:r>
          <w:rPr>
            <w:rFonts w:eastAsia="Times New Roman"/>
            <w:color w:val="000000"/>
            <w:sz w:val="26"/>
            <w:szCs w:val="26"/>
            <w:u w:val="single" w:color="000000"/>
            <w:lang w:val="en-US" w:eastAsia="zh-CN" w:bidi="ar-SA"/>
          </w:rPr>
          <w:t xml:space="preserve">https://www.pkulaw.com/pfnl/a25051f3312b07f31f2cfb06ce2c89c18c53146902cf01ecbdfb.html </w:t>
        </w:r>
      </w:hyperlink>
    </w:p>
    <w:p w14:paraId="288237E4" w14:textId="77777777" w:rsidR="00A77B3E" w:rsidRDefault="00A77B3E"/>
    <w:sectPr w:rsidR="00A77B3E">
      <w:headerReference w:type="default" r:id="rId42"/>
      <w:footerReference w:type="default" r:id="rId4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C9996" w14:textId="77777777" w:rsidR="00000000" w:rsidRDefault="004A0BD1">
      <w:r>
        <w:separator/>
      </w:r>
    </w:p>
  </w:endnote>
  <w:endnote w:type="continuationSeparator" w:id="0">
    <w:p w14:paraId="3EBCA164" w14:textId="77777777" w:rsidR="00000000" w:rsidRDefault="004A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FAF615B" w14:textId="77777777">
      <w:trPr>
        <w:tblCellSpacing w:w="15" w:type="dxa"/>
      </w:trPr>
      <w:tc>
        <w:tcPr>
          <w:tcW w:w="1530" w:type="dxa"/>
          <w:tcMar>
            <w:top w:w="15" w:type="dxa"/>
            <w:left w:w="15" w:type="dxa"/>
            <w:bottom w:w="15" w:type="dxa"/>
            <w:right w:w="15" w:type="dxa"/>
          </w:tcMar>
          <w:vAlign w:val="center"/>
          <w:hideMark/>
        </w:tcPr>
        <w:p w14:paraId="58DB7846" w14:textId="77777777" w:rsidR="00000000" w:rsidRDefault="004A0BD1">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6A1FE8D" w14:textId="77777777" w:rsidR="00000000" w:rsidRDefault="004A0BD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636BCE5" w14:textId="77777777" w:rsidR="00000000" w:rsidRDefault="004A0B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6FB79" w14:textId="77777777" w:rsidR="00000000" w:rsidRDefault="004A0BD1">
      <w:r>
        <w:separator/>
      </w:r>
    </w:p>
  </w:footnote>
  <w:footnote w:type="continuationSeparator" w:id="0">
    <w:p w14:paraId="71E25F41" w14:textId="77777777" w:rsidR="00000000" w:rsidRDefault="004A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9426DB4" w14:textId="77777777">
      <w:trPr>
        <w:tblCellSpacing w:w="15" w:type="dxa"/>
      </w:trPr>
      <w:tc>
        <w:tcPr>
          <w:tcW w:w="0" w:type="auto"/>
          <w:tcMar>
            <w:top w:w="15" w:type="dxa"/>
            <w:left w:w="15" w:type="dxa"/>
            <w:bottom w:w="15" w:type="dxa"/>
            <w:right w:w="15" w:type="dxa"/>
          </w:tcMar>
          <w:vAlign w:val="center"/>
          <w:hideMark/>
        </w:tcPr>
        <w:p w14:paraId="36F1AC91" w14:textId="77777777" w:rsidR="00000000" w:rsidRDefault="004A0BD1">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075FB9B" w14:textId="77777777" w:rsidR="00000000" w:rsidRDefault="004A0BD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CLI.C.34649581</w:t>
          </w:r>
        </w:p>
      </w:tc>
    </w:tr>
  </w:tbl>
  <w:p w14:paraId="04779119" w14:textId="77777777" w:rsidR="00000000" w:rsidRDefault="004A0B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A0BD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F443B"/>
  <w15:chartTrackingRefBased/>
  <w15:docId w15:val="{5A735549-8D24-45FF-B699-42C0CD58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A0B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0BD1"/>
    <w:rPr>
      <w:sz w:val="18"/>
      <w:szCs w:val="18"/>
    </w:rPr>
  </w:style>
  <w:style w:type="paragraph" w:styleId="a5">
    <w:name w:val="footer"/>
    <w:basedOn w:val="a"/>
    <w:link w:val="a6"/>
    <w:rsid w:val="004A0BD1"/>
    <w:pPr>
      <w:tabs>
        <w:tab w:val="center" w:pos="4153"/>
        <w:tab w:val="right" w:pos="8306"/>
      </w:tabs>
      <w:snapToGrid w:val="0"/>
    </w:pPr>
    <w:rPr>
      <w:sz w:val="18"/>
      <w:szCs w:val="18"/>
    </w:rPr>
  </w:style>
  <w:style w:type="character" w:customStyle="1" w:styleId="a6">
    <w:name w:val="页脚 字符"/>
    <w:basedOn w:val="a0"/>
    <w:link w:val="a5"/>
    <w:rsid w:val="004A0B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javascript:CompanySearch('&#19978;&#28023;&#34701;&#20449;&#32622;&#19994;&#26377;&#38480;&#20844;&#21496;')" TargetMode="External"/><Relationship Id="rId18" Type="http://schemas.openxmlformats.org/officeDocument/2006/relationships/hyperlink" Target="https://www.pkulaw.com/chl/da2f720580aa7c0cbdfb.html?way=textSlc" TargetMode="External"/><Relationship Id="rId26" Type="http://schemas.openxmlformats.org/officeDocument/2006/relationships/hyperlink" Target="https://www.pkulaw.com/chl/68957aaf4c3a793dbdfb.html?way=textSlc" TargetMode="External"/><Relationship Id="rId39" Type="http://schemas.openxmlformats.org/officeDocument/2006/relationships/hyperlink" Target="http://www.pkulaw.com/helps/69.html" TargetMode="External"/><Relationship Id="rId21" Type="http://schemas.openxmlformats.org/officeDocument/2006/relationships/hyperlink" Target="https://www.pkulaw.com/chl/da2f720580aa7c0cbdfb.html?way=textSlc" TargetMode="External"/><Relationship Id="rId34" Type="http://schemas.openxmlformats.org/officeDocument/2006/relationships/hyperlink" Target="https://www.pkulaw.com/chl/68957aaf4c3a793dbdfb.html?way=textSlc" TargetMode="External"/><Relationship Id="rId42" Type="http://schemas.openxmlformats.org/officeDocument/2006/relationships/header" Target="header1.xml"/><Relationship Id="rId7" Type="http://schemas.openxmlformats.org/officeDocument/2006/relationships/hyperlink" Target="javascript:CompanySearch('&#19978;&#28023;&#34701;&#20449;&#32622;&#19994;&#26377;&#38480;&#20844;&#21496;')" TargetMode="Externa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9" Type="http://schemas.openxmlformats.org/officeDocument/2006/relationships/hyperlink" Target="https://www.pkulaw.com/chl/2367b1767194112cbdfb.html?way=textSl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CompanySearch('&#19978;&#28023;&#34701;&#20449;&#32622;&#19994;&#26377;&#38480;&#20844;&#21496;')" TargetMode="External"/><Relationship Id="rId24" Type="http://schemas.openxmlformats.org/officeDocument/2006/relationships/hyperlink" Target="https://www.pkulaw.com/chl/68957aaf4c3a793dbdfb.html?way=textSlc" TargetMode="External"/><Relationship Id="rId32" Type="http://schemas.openxmlformats.org/officeDocument/2006/relationships/hyperlink" Target="https://www.pkulaw.com/chl/da2f720580aa7c0cbdfb.html?way=textSlc" TargetMode="External"/><Relationship Id="rId37" Type="http://schemas.openxmlformats.org/officeDocument/2006/relationships/hyperlink" Target="https://www.pkulaw.com" TargetMode="External"/><Relationship Id="rId40" Type="http://schemas.openxmlformats.org/officeDocument/2006/relationships/image" Target="media/image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CompanySearch('&#19978;&#28023;&#34701;&#20449;&#32622;&#19994;&#26377;&#38480;&#20844;&#21496;')"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chl/bdb1d224435c7d79bdfb.html?way=textSlc" TargetMode="External"/><Relationship Id="rId36" Type="http://schemas.openxmlformats.org/officeDocument/2006/relationships/hyperlink" Target="https://www.pkulaw.com/chl/bdb1d224435c7d79bdfb.html?way=textSlc" TargetMode="External"/><Relationship Id="rId10" Type="http://schemas.openxmlformats.org/officeDocument/2006/relationships/hyperlink" Target="javascript:CompanySearch('&#19978;&#28023;&#34701;&#20449;&#32622;&#19994;&#26377;&#38480;&#20844;&#21496;')" TargetMode="External"/><Relationship Id="rId19" Type="http://schemas.openxmlformats.org/officeDocument/2006/relationships/hyperlink" Target="https://www.pkulaw.com/chl/da2f720580aa7c0cbdfb.html?way=textSlc" TargetMode="External"/><Relationship Id="rId31" Type="http://schemas.openxmlformats.org/officeDocument/2006/relationships/hyperlink" Target="https://www.pkulaw.com/chl/da2f720580aa7c0cbdfb.html?way=textSl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CompanySearch('&#19978;&#28023;&#34701;&#20449;&#32622;&#19994;&#26377;&#38480;&#20844;&#21496;')" TargetMode="External"/><Relationship Id="rId14" Type="http://schemas.openxmlformats.org/officeDocument/2006/relationships/hyperlink" Target="javascript:CompanySearch('&#19978;&#28023;&#34701;&#20449;&#32622;&#19994;&#26377;&#38480;&#20844;&#21496;')" TargetMode="External"/><Relationship Id="rId22" Type="http://schemas.openxmlformats.org/officeDocument/2006/relationships/hyperlink" Target="https://www.pkulaw.com/chl/68957aaf4c3a793dbdfb.html?way=textSlc" TargetMode="External"/><Relationship Id="rId27" Type="http://schemas.openxmlformats.org/officeDocument/2006/relationships/hyperlink" Target="https://www.pkulaw.com/chl/bdb1d224435c7d79bdfb.html?way=textSlc" TargetMode="External"/><Relationship Id="rId30" Type="http://schemas.openxmlformats.org/officeDocument/2006/relationships/hyperlink" Target="https://www.pkulaw.com/chl/2367b1767194112cbdfb.html?way=textSlc" TargetMode="External"/><Relationship Id="rId35" Type="http://schemas.openxmlformats.org/officeDocument/2006/relationships/hyperlink" Target="https://www.pkulaw.com/chl/bdb1d224435c7d79bdfb.html?way=textSlc" TargetMode="External"/><Relationship Id="rId43" Type="http://schemas.openxmlformats.org/officeDocument/2006/relationships/footer" Target="footer1.xml"/><Relationship Id="rId8" Type="http://schemas.openxmlformats.org/officeDocument/2006/relationships/hyperlink" Target="javascript:CompanySearch('&#19978;&#28023;&#34701;&#20449;&#32622;&#19994;&#26377;&#38480;&#20844;&#21496;')" TargetMode="External"/><Relationship Id="rId3" Type="http://schemas.openxmlformats.org/officeDocument/2006/relationships/settings" Target="settings.xml"/><Relationship Id="rId12" Type="http://schemas.openxmlformats.org/officeDocument/2006/relationships/hyperlink" Target="javascript:CompanySearch('&#19978;&#28023;&#34701;&#20449;&#32622;&#19994;&#26377;&#38480;&#20844;&#21496;')" TargetMode="External"/><Relationship Id="rId17" Type="http://schemas.openxmlformats.org/officeDocument/2006/relationships/hyperlink" Target="https://www.pkulaw.com/chl/2367b1767194112cbdfb.html?way=textSlc" TargetMode="External"/><Relationship Id="rId25" Type="http://schemas.openxmlformats.org/officeDocument/2006/relationships/hyperlink" Target="https://www.pkulaw.com/chl/68957aaf4c3a793dbdfb.html?way=textSlc" TargetMode="External"/><Relationship Id="rId33" Type="http://schemas.openxmlformats.org/officeDocument/2006/relationships/hyperlink" Target="https://www.pkulaw.com/chl/68957aaf4c3a793dbdfb.html?way=textSlc" TargetMode="External"/><Relationship Id="rId38" Type="http://schemas.openxmlformats.org/officeDocument/2006/relationships/hyperlink" Target="http://www.pkulaw.net/" TargetMode="External"/><Relationship Id="rId20" Type="http://schemas.openxmlformats.org/officeDocument/2006/relationships/hyperlink" Target="https://www.pkulaw.com/chl/da2f720580aa7c0cbdfb.html?way=textSlc" TargetMode="External"/><Relationship Id="rId41" Type="http://schemas.openxmlformats.org/officeDocument/2006/relationships/hyperlink" Target="https://www.pkulaw.com/pfnl/a25051f3312b07f31f2cfb06ce2c89c18c53146902cf01ec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2024-05-11T15:34:00Z</dcterms:created>
  <dcterms:modified xsi:type="dcterms:W3CDTF">2024-05-11T15:34:00Z</dcterms:modified>
</cp:coreProperties>
</file>