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BAA3" w14:textId="77777777" w:rsidR="00000000" w:rsidRDefault="007B307A">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赵有军诉曾凡礼民间借贷纠纷案</w:t>
      </w:r>
    </w:p>
    <w:p w14:paraId="2F5DA6A1" w14:textId="77777777" w:rsidR="00000000" w:rsidRDefault="007B307A">
      <w:pPr>
        <w:ind w:left="375" w:right="375"/>
        <w:rPr>
          <w:rFonts w:ascii="Arial" w:eastAsia="Arial" w:hAnsi="Arial" w:cs="Arial"/>
          <w:lang w:val="en-US" w:eastAsia="zh-CN" w:bidi="ar-SA"/>
        </w:rPr>
      </w:pPr>
      <w:r>
        <w:rPr>
          <w:rFonts w:ascii="Arial" w:eastAsia="Arial" w:hAnsi="Arial" w:cs="Arial"/>
          <w:lang w:val="en-US" w:eastAsia="zh-CN" w:bidi="ar-SA"/>
        </w:rPr>
        <w:br/>
      </w:r>
    </w:p>
    <w:p w14:paraId="36CE36CC" w14:textId="77777777" w:rsidR="00000000" w:rsidRDefault="007B307A">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赵有军诉曾凡礼民间借贷纠纷案</w:t>
      </w:r>
    </w:p>
    <w:p w14:paraId="20190574" w14:textId="77777777" w:rsidR="00000000" w:rsidRDefault="007B307A">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AF308B5" w14:textId="77777777" w:rsidR="00000000" w:rsidRDefault="007B307A">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17803</w:t>
      </w:r>
      <w:r>
        <w:rPr>
          <w:rStyle w:val="span"/>
          <w:rFonts w:ascii="宋体" w:eastAsia="宋体" w:hAnsi="宋体" w:cs="宋体"/>
          <w:color w:val="000000"/>
          <w:sz w:val="27"/>
          <w:szCs w:val="27"/>
          <w:lang w:val="en-US" w:eastAsia="zh-CN" w:bidi="ar-SA"/>
        </w:rPr>
        <w:t>号</w:t>
      </w:r>
    </w:p>
    <w:p w14:paraId="58A1F23A" w14:textId="77777777" w:rsidR="00000000" w:rsidRDefault="007B307A">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原告：赵有军。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被告：曾凡礼。</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原告赵有军与被告曾凡礼民间借贷纠纷一案，本院于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立案受理。因无法用法律规定的送达方式向被告曾凡礼送达民事诉状副本、应诉通知书、举证通知书和开庭传票等诉讼文书，用公告送达的方式向被告曾凡礼送达上述诉讼文书。本案依法适用普通程序，并组成合议庭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日公开开庭进行了审理，原告赵有军到庭参</w:t>
      </w:r>
      <w:r>
        <w:rPr>
          <w:rFonts w:ascii="宋体" w:eastAsia="宋体" w:hAnsi="宋体" w:cs="宋体"/>
          <w:color w:val="000000"/>
          <w:sz w:val="27"/>
          <w:szCs w:val="27"/>
          <w:lang w:val="en-US" w:eastAsia="zh-CN" w:bidi="ar-SA"/>
        </w:rPr>
        <w:t>加诉讼。被告曾凡礼经本院合法传唤，无正当理由拒不到庭，作缺席审理。本案现已审理终结。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赵有军向本院提出诉讼请求：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、曾凡礼返还借款</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、以</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日起至实际清偿日止，按银行同期贷款利率支付逾期利息。事实和理由：原、被告系朋友关系。被告在上海做餐饮生意，原告曾到被告公司做外聘司机。被告称有部分原始股可以给原告，原告于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日将</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万元转账给被告，后原告获悉被告将原告的钱款用于发放员工工资并未为原告购买原始股。</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日，经与被告交涉，被告确认将该</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万元转为向原告借款并向原告出具借条，承诺半年还清。但至今仍未还款，现原告起诉要求判如所请。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lastRenderedPageBreak/>
        <w:t>被告辩称</w:t>
      </w:r>
      <w:bookmarkStart w:id="3" w:name="anchor-4"/>
      <w:bookmarkEnd w:id="3"/>
      <w:r>
        <w:rPr>
          <w:rFonts w:ascii="宋体" w:eastAsia="宋体" w:hAnsi="宋体" w:cs="宋体"/>
          <w:color w:val="000000"/>
          <w:sz w:val="27"/>
          <w:szCs w:val="27"/>
          <w:lang w:val="en-US" w:eastAsia="zh-CN" w:bidi="ar-SA"/>
        </w:rPr>
        <w:t xml:space="preserve">　　曾凡礼未作答辩。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本院经审理认定事实如下：赵有军持有曾凡礼出具的借条一份，内容为：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本人于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日借到赵有军</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身份证</w:t>
      </w:r>
      <w:r>
        <w:rPr>
          <w:rFonts w:ascii="宋体" w:eastAsia="宋体" w:hAnsi="宋体" w:cs="宋体"/>
          <w:color w:val="000000"/>
          <w:sz w:val="27"/>
          <w:szCs w:val="27"/>
          <w:lang w:val="en-US" w:eastAsia="zh-CN" w:bidi="ar-SA"/>
        </w:rPr>
        <w:t>XXxxxXX)</w:t>
      </w:r>
      <w:r>
        <w:rPr>
          <w:rFonts w:ascii="宋体" w:eastAsia="宋体" w:hAnsi="宋体" w:cs="宋体"/>
          <w:color w:val="000000"/>
          <w:sz w:val="27"/>
          <w:szCs w:val="27"/>
          <w:lang w:val="en-US" w:eastAsia="zh-CN" w:bidi="ar-SA"/>
        </w:rPr>
        <w:t>人民币贰拾伍万元，因到期未还，今重写借条。还款方案，本人承诺半年还清，分每月肆万元还款，最后一个月伍万元人民币。借款人：曾凡礼，身份证号：</w:t>
      </w:r>
      <w:r>
        <w:rPr>
          <w:rFonts w:ascii="宋体" w:eastAsia="宋体" w:hAnsi="宋体" w:cs="宋体"/>
          <w:color w:val="000000"/>
          <w:sz w:val="27"/>
          <w:szCs w:val="27"/>
          <w:lang w:val="en-US" w:eastAsia="zh-CN" w:bidi="ar-SA"/>
        </w:rPr>
        <w:t>XXxxxXX</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日，赵有军尾号</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建设银行账号向曾凡礼尾号</w:t>
      </w:r>
      <w:r>
        <w:rPr>
          <w:rFonts w:ascii="宋体" w:eastAsia="宋体" w:hAnsi="宋体" w:cs="宋体"/>
          <w:color w:val="000000"/>
          <w:sz w:val="27"/>
          <w:szCs w:val="27"/>
          <w:lang w:val="en-US" w:eastAsia="zh-CN" w:bidi="ar-SA"/>
        </w:rPr>
        <w:t>XX</w:t>
      </w:r>
      <w:r>
        <w:rPr>
          <w:rFonts w:ascii="宋体" w:eastAsia="宋体" w:hAnsi="宋体" w:cs="宋体"/>
          <w:color w:val="000000"/>
          <w:sz w:val="27"/>
          <w:szCs w:val="27"/>
          <w:lang w:val="en-US" w:eastAsia="zh-CN" w:bidi="ar-SA"/>
        </w:rPr>
        <w:t>XX</w:t>
      </w:r>
      <w:r>
        <w:rPr>
          <w:rFonts w:ascii="宋体" w:eastAsia="宋体" w:hAnsi="宋体" w:cs="宋体"/>
          <w:color w:val="000000"/>
          <w:sz w:val="27"/>
          <w:szCs w:val="27"/>
          <w:lang w:val="en-US" w:eastAsia="zh-CN" w:bidi="ar-SA"/>
        </w:rPr>
        <w:t>银行账号转账</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以上事实，有赵有军提供的借条、转账凭证等证据证实，并经庭审审核，应予认定。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借条是借贷法律关系成立的直接证据。赵有军持有曾凡礼出具的借条及对应的银行转账凭证，可证明双方借贷法律关系成立。曾凡礼未按期归还借款，现赵有军要求曾凡礼归还借款并支付逾期利息的诉讼请求，符合法律及双方合同约定规定，本院予以准许。但逾期利息的起算日期由本院依法判决。曾凡礼经本院合法传唤无正当理由拒不到庭，由本院依法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9"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1" w:anchor="tiao_92" w:history="1">
        <w:r>
          <w:rPr>
            <w:rStyle w:val="fulltext-wrapfulltexta"/>
            <w:rFonts w:ascii="宋体" w:eastAsia="宋体" w:hAnsi="宋体" w:cs="宋体"/>
            <w:sz w:val="27"/>
            <w:szCs w:val="27"/>
            <w:lang w:val="en-US" w:eastAsia="zh-CN" w:bidi="ar-SA"/>
          </w:rPr>
          <w:t>九十二条</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一、曾凡礼于本判决生效之日起十日内返还赵有军借款</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二、曾凡礼于本判决生效之日起十日内按中国人民银行同期贷款利率支付赵有军本金</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万元的逾期利息，期限自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日起至本金清偿日止。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如果未按本判决指定的期间履行金钱给付义务，应当依照《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5,237</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560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5,797</w:t>
      </w:r>
      <w:r>
        <w:rPr>
          <w:rFonts w:ascii="宋体" w:eastAsia="宋体" w:hAnsi="宋体" w:cs="宋体"/>
          <w:color w:val="000000"/>
          <w:sz w:val="27"/>
          <w:szCs w:val="27"/>
          <w:lang w:val="en-US" w:eastAsia="zh-CN" w:bidi="ar-SA"/>
        </w:rPr>
        <w:t>元，由曾凡礼负担。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如不服本判决，可以在判决书送达之日起十五日内向本院递交上诉状，并按对方当事人的人数提出副</w:t>
      </w:r>
      <w:r>
        <w:rPr>
          <w:rFonts w:ascii="宋体" w:eastAsia="宋体" w:hAnsi="宋体" w:cs="宋体"/>
          <w:color w:val="000000"/>
          <w:sz w:val="27"/>
          <w:szCs w:val="27"/>
          <w:lang w:val="en-US" w:eastAsia="zh-CN" w:bidi="ar-SA"/>
        </w:rPr>
        <w:t>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7D67941" w14:textId="77777777" w:rsidR="00000000" w:rsidRDefault="007B307A">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陆文嘉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员　　徐燕菁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李雅萍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二〇一六年十一月二十五日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朱　磊</w:t>
      </w:r>
    </w:p>
    <w:p w14:paraId="59F698D0" w14:textId="77777777" w:rsidR="00000000" w:rsidRDefault="007B307A">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w:t>
      </w:r>
      <w:r>
        <w:rPr>
          <w:rFonts w:ascii="宋体" w:eastAsia="宋体" w:hAnsi="宋体" w:cs="宋体"/>
          <w:color w:val="000000"/>
          <w:sz w:val="27"/>
          <w:szCs w:val="27"/>
          <w:lang w:val="en-US" w:eastAsia="zh-CN" w:bidi="ar-SA"/>
        </w:rPr>
        <w:t>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第九十二条受送达人下落不明，或者用本节规定的其他方式无法送达的，公告送达。自发出公告之日起，经过六十日，即视为送达。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公告送达，应当在案卷中记明原因和经过。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w:t>
      </w:r>
      <w:r>
        <w:rPr>
          <w:rFonts w:ascii="宋体" w:eastAsia="宋体" w:hAnsi="宋体" w:cs="宋体"/>
          <w:color w:val="000000"/>
          <w:sz w:val="27"/>
          <w:szCs w:val="27"/>
          <w:lang w:val="en-US" w:eastAsia="zh-CN" w:bidi="ar-SA"/>
        </w:rPr>
        <w:t>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r>
        <w:rPr>
          <w:rFonts w:ascii="宋体" w:eastAsia="宋体" w:hAnsi="宋体" w:cs="宋体"/>
          <w:color w:val="000000"/>
          <w:sz w:val="27"/>
          <w:szCs w:val="27"/>
          <w:lang w:val="en-US" w:eastAsia="zh-CN" w:bidi="ar-SA"/>
        </w:rPr>
        <w:t xml:space="preserve"> </w:t>
      </w:r>
    </w:p>
    <w:p w14:paraId="64515A79" w14:textId="77777777" w:rsidR="00000000" w:rsidRDefault="007B307A">
      <w:pPr>
        <w:ind w:left="375" w:right="375"/>
        <w:rPr>
          <w:rFonts w:ascii="Arial" w:eastAsia="Arial" w:hAnsi="Arial" w:cs="Arial"/>
          <w:lang w:val="en-US" w:eastAsia="zh-CN" w:bidi="ar-SA"/>
        </w:rPr>
      </w:pPr>
      <w:r>
        <w:rPr>
          <w:rFonts w:ascii="Arial" w:eastAsia="Arial" w:hAnsi="Arial" w:cs="Arial"/>
          <w:lang w:val="en-US" w:eastAsia="zh-CN" w:bidi="ar-SA"/>
        </w:rPr>
        <w:br/>
      </w:r>
    </w:p>
    <w:p w14:paraId="2008B7EA" w14:textId="77777777" w:rsidR="00000000" w:rsidRDefault="00A77B3E">
      <w:pPr>
        <w:spacing w:line="630" w:lineRule="atLeast"/>
        <w:rPr>
          <w:rFonts w:eastAsia="Times New Roman"/>
          <w:sz w:val="26"/>
          <w:szCs w:val="26"/>
          <w:lang w:val="en-US" w:eastAsia="zh-CN" w:bidi="ar-SA"/>
        </w:rPr>
      </w:pPr>
      <w:r>
        <w:br w:type="page"/>
      </w:r>
      <w:r w:rsidR="007B307A">
        <w:rPr>
          <w:rFonts w:eastAsia="Times New Roman"/>
          <w:sz w:val="26"/>
          <w:szCs w:val="26"/>
          <w:lang w:val="en-US" w:eastAsia="zh-CN" w:bidi="ar-SA"/>
        </w:rPr>
        <w:t>©北大法宝：（</w:t>
      </w:r>
      <w:hyperlink r:id="rId17" w:history="1">
        <w:r w:rsidR="007B307A">
          <w:rPr>
            <w:rFonts w:eastAsia="Times New Roman"/>
            <w:color w:val="218FC4"/>
            <w:sz w:val="26"/>
            <w:szCs w:val="26"/>
            <w:u w:val="single" w:color="218FC4"/>
            <w:lang w:val="en-US" w:eastAsia="zh-CN" w:bidi="ar-SA"/>
          </w:rPr>
          <w:t>www.pkulaw.com</w:t>
        </w:r>
      </w:hyperlink>
      <w:r w:rsidR="007B307A">
        <w:rPr>
          <w:rFonts w:eastAsia="Times New Roman"/>
          <w:sz w:val="26"/>
          <w:szCs w:val="26"/>
          <w:lang w:val="en-US" w:eastAsia="zh-CN" w:bidi="ar-SA"/>
        </w:rPr>
        <w:t>）专业提供法律信息、法学知识和法律软件领域各类解决方案。北大法宝为您提供丰富的参考资料，正式引用法规条文</w:t>
      </w:r>
      <w:r w:rsidR="007B307A">
        <w:rPr>
          <w:rFonts w:eastAsia="Times New Roman"/>
          <w:sz w:val="26"/>
          <w:szCs w:val="26"/>
          <w:lang w:val="en-US" w:eastAsia="zh-CN" w:bidi="ar-SA"/>
        </w:rPr>
        <w:t>时请与标准文本核对。 欢迎查看所有</w:t>
      </w:r>
      <w:hyperlink r:id="rId18" w:tgtFrame="_blank" w:history="1">
        <w:r w:rsidR="007B307A">
          <w:rPr>
            <w:rFonts w:eastAsia="Times New Roman"/>
            <w:color w:val="218FC4"/>
            <w:sz w:val="26"/>
            <w:szCs w:val="26"/>
            <w:u w:val="single" w:color="218FC4"/>
            <w:lang w:val="en-US" w:eastAsia="zh-CN" w:bidi="ar-SA"/>
          </w:rPr>
          <w:t>产品和服务</w:t>
        </w:r>
      </w:hyperlink>
      <w:r w:rsidR="007B307A">
        <w:rPr>
          <w:rFonts w:eastAsia="Times New Roman"/>
          <w:sz w:val="26"/>
          <w:szCs w:val="26"/>
          <w:lang w:val="en-US" w:eastAsia="zh-CN" w:bidi="ar-SA"/>
        </w:rPr>
        <w:t>。</w:t>
      </w:r>
      <w:r w:rsidR="007B307A">
        <w:rPr>
          <w:rFonts w:eastAsia="Times New Roman"/>
          <w:sz w:val="26"/>
          <w:szCs w:val="26"/>
          <w:lang w:val="en-US" w:eastAsia="zh-CN" w:bidi="ar-SA"/>
        </w:rPr>
        <w:br/>
      </w:r>
      <w:hyperlink r:id="rId19" w:tgtFrame="_blank" w:history="1">
        <w:r w:rsidR="007B307A">
          <w:rPr>
            <w:rFonts w:eastAsia="Times New Roman"/>
            <w:color w:val="218FC4"/>
            <w:sz w:val="26"/>
            <w:szCs w:val="26"/>
            <w:u w:val="single" w:color="218FC4"/>
            <w:lang w:val="en-US" w:eastAsia="zh-CN" w:bidi="ar-SA"/>
          </w:rPr>
          <w:t>法宝快讯： 如何快速找到您需要的检索结果？ 法宝 V6 有何新特色？</w:t>
        </w:r>
      </w:hyperlink>
    </w:p>
    <w:p w14:paraId="09844B53" w14:textId="77777777" w:rsidR="00000000" w:rsidRDefault="007B307A">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334A7549" w14:textId="77777777" w:rsidR="00000000" w:rsidRDefault="007B307A">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A824BF5" w14:textId="77777777" w:rsidR="00000000" w:rsidRDefault="007B307A">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 xml:space="preserve">https://www.pkulaw.com/pfnl/a25051f3312b07f33d7ee5dc9d534d40647e2c370c60a55ebdfb.html </w:t>
        </w:r>
      </w:hyperlink>
    </w:p>
    <w:p w14:paraId="03A8D910"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2578" w14:textId="77777777" w:rsidR="00000000" w:rsidRDefault="007B307A">
      <w:r>
        <w:separator/>
      </w:r>
    </w:p>
  </w:endnote>
  <w:endnote w:type="continuationSeparator" w:id="0">
    <w:p w14:paraId="5374F7AA" w14:textId="77777777" w:rsidR="00000000" w:rsidRDefault="007B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89A279D" w14:textId="77777777">
      <w:trPr>
        <w:tblCellSpacing w:w="15" w:type="dxa"/>
      </w:trPr>
      <w:tc>
        <w:tcPr>
          <w:tcW w:w="1530" w:type="dxa"/>
          <w:tcMar>
            <w:top w:w="15" w:type="dxa"/>
            <w:left w:w="15" w:type="dxa"/>
            <w:bottom w:w="15" w:type="dxa"/>
            <w:right w:w="15" w:type="dxa"/>
          </w:tcMar>
          <w:vAlign w:val="center"/>
          <w:hideMark/>
        </w:tcPr>
        <w:p w14:paraId="2576F24A" w14:textId="77777777" w:rsidR="00000000" w:rsidRDefault="007B307A">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F39D480" w14:textId="77777777" w:rsidR="00000000" w:rsidRDefault="007B307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5CEE8834" w14:textId="77777777" w:rsidR="00000000" w:rsidRDefault="007B30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F33B" w14:textId="77777777" w:rsidR="00000000" w:rsidRDefault="007B307A">
      <w:r>
        <w:separator/>
      </w:r>
    </w:p>
  </w:footnote>
  <w:footnote w:type="continuationSeparator" w:id="0">
    <w:p w14:paraId="4F8C93C2" w14:textId="77777777" w:rsidR="00000000" w:rsidRDefault="007B3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74187CC" w14:textId="77777777">
      <w:trPr>
        <w:tblCellSpacing w:w="15" w:type="dxa"/>
      </w:trPr>
      <w:tc>
        <w:tcPr>
          <w:tcW w:w="0" w:type="auto"/>
          <w:tcMar>
            <w:top w:w="15" w:type="dxa"/>
            <w:left w:w="15" w:type="dxa"/>
            <w:bottom w:w="15" w:type="dxa"/>
            <w:right w:w="15" w:type="dxa"/>
          </w:tcMar>
          <w:vAlign w:val="center"/>
          <w:hideMark/>
        </w:tcPr>
        <w:p w14:paraId="55DA2F7D" w14:textId="77777777" w:rsidR="00000000" w:rsidRDefault="007B307A">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E5CC014" w14:textId="77777777" w:rsidR="00000000" w:rsidRDefault="007B307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CLI.C.37715887</w:t>
          </w:r>
        </w:p>
      </w:tc>
    </w:tr>
  </w:tbl>
  <w:p w14:paraId="6803705A" w14:textId="77777777" w:rsidR="00000000" w:rsidRDefault="007B30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B307A"/>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2677F"/>
  <w15:chartTrackingRefBased/>
  <w15:docId w15:val="{947F30C2-07DE-489D-ADD1-2E563DFA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B30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307A"/>
    <w:rPr>
      <w:sz w:val="18"/>
      <w:szCs w:val="18"/>
    </w:rPr>
  </w:style>
  <w:style w:type="paragraph" w:styleId="a5">
    <w:name w:val="footer"/>
    <w:basedOn w:val="a"/>
    <w:link w:val="a6"/>
    <w:rsid w:val="007B307A"/>
    <w:pPr>
      <w:tabs>
        <w:tab w:val="center" w:pos="4153"/>
        <w:tab w:val="right" w:pos="8306"/>
      </w:tabs>
      <w:snapToGrid w:val="0"/>
    </w:pPr>
    <w:rPr>
      <w:sz w:val="18"/>
      <w:szCs w:val="18"/>
    </w:rPr>
  </w:style>
  <w:style w:type="character" w:customStyle="1" w:styleId="a6">
    <w:name w:val="页脚 字符"/>
    <w:basedOn w:val="a0"/>
    <w:link w:val="a5"/>
    <w:rsid w:val="007B30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25051f3312b07f33d7ee5dc9d534d40647e2c370c60a55ebdfb.html"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footer" Target="footer1.xml"/><Relationship Id="rId10" Type="http://schemas.openxmlformats.org/officeDocument/2006/relationships/hyperlink" Target="https://www.pkulaw.com/chl/68957aaf4c3a793d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2024-05-11T15:35:00Z</dcterms:created>
  <dcterms:modified xsi:type="dcterms:W3CDTF">2024-05-11T15:35:00Z</dcterms:modified>
</cp:coreProperties>
</file>