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CE59D" w14:textId="77777777" w:rsidR="00000000" w:rsidRDefault="00D83204">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吴祖华与代涛民间借贷纠纷一审民事判决书</w:t>
      </w:r>
    </w:p>
    <w:p w14:paraId="45B1818A" w14:textId="77777777" w:rsidR="00000000" w:rsidRDefault="00D83204">
      <w:pPr>
        <w:ind w:left="375" w:right="375"/>
        <w:rPr>
          <w:rFonts w:ascii="Arial" w:eastAsia="Arial" w:hAnsi="Arial" w:cs="Arial"/>
          <w:lang w:val="en-US" w:eastAsia="zh-CN" w:bidi="ar-SA"/>
        </w:rPr>
      </w:pPr>
      <w:r>
        <w:rPr>
          <w:rFonts w:ascii="Arial" w:eastAsia="Arial" w:hAnsi="Arial" w:cs="Arial"/>
          <w:lang w:val="en-US" w:eastAsia="zh-CN" w:bidi="ar-SA"/>
        </w:rPr>
        <w:br/>
      </w:r>
    </w:p>
    <w:p w14:paraId="45C36C3D" w14:textId="77777777" w:rsidR="00000000" w:rsidRDefault="00D83204">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吴祖华与代涛民间借贷纠纷一审民事判决书</w:t>
      </w:r>
    </w:p>
    <w:p w14:paraId="751C4995" w14:textId="77777777" w:rsidR="00000000" w:rsidRDefault="00D83204">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浙江省温州市瓯海区人民法院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593FC8C5" w14:textId="77777777" w:rsidR="00000000" w:rsidRDefault="00D83204">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(2019)</w:t>
      </w:r>
      <w:r>
        <w:rPr>
          <w:rStyle w:val="span"/>
          <w:rFonts w:ascii="宋体" w:eastAsia="宋体" w:hAnsi="宋体" w:cs="宋体"/>
          <w:color w:val="000000"/>
          <w:sz w:val="27"/>
          <w:szCs w:val="27"/>
          <w:lang w:val="en-US" w:eastAsia="zh-CN" w:bidi="ar-SA"/>
        </w:rPr>
        <w:t>浙</w:t>
      </w:r>
      <w:r>
        <w:rPr>
          <w:rStyle w:val="span"/>
          <w:rFonts w:ascii="宋体" w:eastAsia="宋体" w:hAnsi="宋体" w:cs="宋体"/>
          <w:color w:val="000000"/>
          <w:sz w:val="27"/>
          <w:szCs w:val="27"/>
          <w:lang w:val="en-US" w:eastAsia="zh-CN" w:bidi="ar-SA"/>
        </w:rPr>
        <w:t>0304</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73</w:t>
      </w:r>
      <w:r>
        <w:rPr>
          <w:rStyle w:val="span"/>
          <w:rFonts w:ascii="宋体" w:eastAsia="宋体" w:hAnsi="宋体" w:cs="宋体"/>
          <w:color w:val="000000"/>
          <w:sz w:val="27"/>
          <w:szCs w:val="27"/>
          <w:lang w:val="en-US" w:eastAsia="zh-CN" w:bidi="ar-SA"/>
        </w:rPr>
        <w:t>号</w:t>
      </w:r>
    </w:p>
    <w:p w14:paraId="7F062047" w14:textId="77777777" w:rsidR="00000000" w:rsidRDefault="00D83204">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原告：吴祖华。</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被告：代涛。</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原告吴祖华为与被告代涛民间借贷纠纷一案，原告吴祖华于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日向法院提起诉讼，请求法院判令：被告代涛偿付原告借款本金</w:t>
      </w:r>
      <w:r>
        <w:rPr>
          <w:rFonts w:ascii="宋体" w:eastAsia="宋体" w:hAnsi="宋体" w:cs="宋体"/>
          <w:color w:val="000000"/>
          <w:sz w:val="27"/>
          <w:szCs w:val="27"/>
          <w:lang w:val="en-US" w:eastAsia="zh-CN" w:bidi="ar-SA"/>
        </w:rPr>
        <w:t>20000</w:t>
      </w:r>
      <w:r>
        <w:rPr>
          <w:rFonts w:ascii="宋体" w:eastAsia="宋体" w:hAnsi="宋体" w:cs="宋体"/>
          <w:color w:val="000000"/>
          <w:sz w:val="27"/>
          <w:szCs w:val="27"/>
          <w:lang w:val="en-US" w:eastAsia="zh-CN" w:bidi="ar-SA"/>
        </w:rPr>
        <w:t>元。本院受理后，依法适用普通程序，于</w:t>
      </w:r>
      <w:r>
        <w:rPr>
          <w:rFonts w:ascii="宋体" w:eastAsia="宋体" w:hAnsi="宋体" w:cs="宋体"/>
          <w:color w:val="000000"/>
          <w:sz w:val="27"/>
          <w:szCs w:val="27"/>
          <w:lang w:val="en-US" w:eastAsia="zh-CN" w:bidi="ar-SA"/>
        </w:rPr>
        <w:t>2019</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日公开开庭进行了审理并当庭予以宣判。原告吴祖华到庭参加诉讼，被告代涛经本院合法传唤无正当理由拒不到庭。</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1" w:name="anchor-2"/>
      <w:bookmarkEnd w:id="1"/>
      <w:r>
        <w:rPr>
          <w:rFonts w:ascii="宋体" w:eastAsia="宋体" w:hAnsi="宋体" w:cs="宋体"/>
          <w:color w:val="000000"/>
          <w:sz w:val="27"/>
          <w:szCs w:val="27"/>
          <w:lang w:val="en-US" w:eastAsia="zh-CN" w:bidi="ar-SA"/>
        </w:rPr>
        <w:t xml:space="preserve">　　本院经审理认定：原、被告在</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年间，经他人介绍认识。</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日，被告代涛以经营需要为由，向原告吴祖华借款</w:t>
      </w:r>
      <w:r>
        <w:rPr>
          <w:rFonts w:ascii="宋体" w:eastAsia="宋体" w:hAnsi="宋体" w:cs="宋体"/>
          <w:color w:val="000000"/>
          <w:sz w:val="27"/>
          <w:szCs w:val="27"/>
          <w:lang w:val="en-US" w:eastAsia="zh-CN" w:bidi="ar-SA"/>
        </w:rPr>
        <w:t>20000</w:t>
      </w:r>
      <w:r>
        <w:rPr>
          <w:rFonts w:ascii="宋体" w:eastAsia="宋体" w:hAnsi="宋体" w:cs="宋体"/>
          <w:color w:val="000000"/>
          <w:sz w:val="27"/>
          <w:szCs w:val="27"/>
          <w:lang w:val="en-US" w:eastAsia="zh-CN" w:bidi="ar-SA"/>
        </w:rPr>
        <w:t>元，并以</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戴涛</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名义向原告出具了一份借条。借款后，经原告多次催讨无果，于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日向本院提起诉讼。</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本院依照《</w:t>
      </w:r>
      <w:hyperlink r:id="rId7"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8"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9" w:anchor="tiao_210" w:history="1">
        <w:r>
          <w:rPr>
            <w:rStyle w:val="fulltext-wrapfulltexta"/>
            <w:rFonts w:ascii="宋体" w:eastAsia="宋体" w:hAnsi="宋体" w:cs="宋体"/>
            <w:sz w:val="27"/>
            <w:szCs w:val="27"/>
            <w:lang w:val="en-US" w:eastAsia="zh-CN" w:bidi="ar-SA"/>
          </w:rPr>
          <w:t>二百一十条</w:t>
        </w:r>
      </w:hyperlink>
      <w:r>
        <w:rPr>
          <w:rFonts w:ascii="宋体" w:eastAsia="宋体" w:hAnsi="宋体" w:cs="宋体"/>
          <w:color w:val="000000"/>
          <w:sz w:val="27"/>
          <w:szCs w:val="27"/>
          <w:lang w:val="en-US" w:eastAsia="zh-CN" w:bidi="ar-SA"/>
        </w:rPr>
        <w:t>、第</w:t>
      </w:r>
      <w:hyperlink r:id="rId10" w:anchor="tiao_211" w:history="1">
        <w:r>
          <w:rPr>
            <w:rStyle w:val="fulltext-wrapfulltexta"/>
            <w:rFonts w:ascii="宋体" w:eastAsia="宋体" w:hAnsi="宋体" w:cs="宋体"/>
            <w:sz w:val="27"/>
            <w:szCs w:val="27"/>
            <w:lang w:val="en-US" w:eastAsia="zh-CN" w:bidi="ar-SA"/>
          </w:rPr>
          <w:t>二百一十一条</w:t>
        </w:r>
      </w:hyperlink>
      <w:r>
        <w:rPr>
          <w:rFonts w:ascii="宋体" w:eastAsia="宋体" w:hAnsi="宋体" w:cs="宋体"/>
          <w:color w:val="000000"/>
          <w:sz w:val="27"/>
          <w:szCs w:val="27"/>
          <w:lang w:val="en-US" w:eastAsia="zh-CN" w:bidi="ar-SA"/>
        </w:rPr>
        <w:t>，《</w:t>
      </w:r>
      <w:hyperlink r:id="rId11"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2"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被告代涛应在本判决生效后</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日内偿付原告吴祖华借款</w:t>
      </w:r>
      <w:r>
        <w:rPr>
          <w:rFonts w:ascii="宋体" w:eastAsia="宋体" w:hAnsi="宋体" w:cs="宋体"/>
          <w:color w:val="000000"/>
          <w:sz w:val="27"/>
          <w:szCs w:val="27"/>
          <w:lang w:val="en-US" w:eastAsia="zh-CN" w:bidi="ar-SA"/>
        </w:rPr>
        <w:t>本金</w:t>
      </w:r>
      <w:r>
        <w:rPr>
          <w:rFonts w:ascii="宋体" w:eastAsia="宋体" w:hAnsi="宋体" w:cs="宋体"/>
          <w:color w:val="000000"/>
          <w:sz w:val="27"/>
          <w:szCs w:val="27"/>
          <w:lang w:val="en-US" w:eastAsia="zh-CN" w:bidi="ar-SA"/>
        </w:rPr>
        <w:t>20000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2" w:name="anchor-1"/>
      <w:bookmarkEnd w:id="2"/>
      <w:r>
        <w:rPr>
          <w:rFonts w:ascii="宋体" w:eastAsia="宋体" w:hAnsi="宋体" w:cs="宋体"/>
          <w:color w:val="000000"/>
          <w:sz w:val="27"/>
          <w:szCs w:val="27"/>
          <w:lang w:val="en-US" w:eastAsia="zh-CN" w:bidi="ar-SA"/>
        </w:rPr>
        <w:t xml:space="preserve">　　如果未按本判决指定的期间履行给付金钱义务，应当依照《</w:t>
      </w:r>
      <w:hyperlink r:id="rId13"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4"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之规定，加倍支付迟延履行期间的债</w:t>
      </w:r>
      <w:r>
        <w:rPr>
          <w:rFonts w:ascii="宋体" w:eastAsia="宋体" w:hAnsi="宋体" w:cs="宋体"/>
          <w:color w:val="000000"/>
          <w:sz w:val="27"/>
          <w:szCs w:val="27"/>
          <w:lang w:val="en-US" w:eastAsia="zh-CN" w:bidi="ar-SA"/>
        </w:rPr>
        <w:t>务利</w:t>
      </w:r>
      <w:r>
        <w:rPr>
          <w:rFonts w:ascii="宋体" w:eastAsia="宋体" w:hAnsi="宋体" w:cs="宋体"/>
          <w:color w:val="000000"/>
          <w:sz w:val="27"/>
          <w:szCs w:val="27"/>
          <w:lang w:val="en-US" w:eastAsia="zh-CN" w:bidi="ar-SA"/>
        </w:rPr>
        <w:lastRenderedPageBreak/>
        <w:t>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本案受理费</w:t>
      </w:r>
      <w:r>
        <w:rPr>
          <w:rFonts w:ascii="宋体" w:eastAsia="宋体" w:hAnsi="宋体" w:cs="宋体"/>
          <w:color w:val="000000"/>
          <w:sz w:val="27"/>
          <w:szCs w:val="27"/>
          <w:lang w:val="en-US" w:eastAsia="zh-CN" w:bidi="ar-SA"/>
        </w:rPr>
        <w:t>300</w:t>
      </w:r>
      <w:r>
        <w:rPr>
          <w:rFonts w:ascii="宋体" w:eastAsia="宋体" w:hAnsi="宋体" w:cs="宋体"/>
          <w:color w:val="000000"/>
          <w:sz w:val="27"/>
          <w:szCs w:val="27"/>
          <w:lang w:val="en-US" w:eastAsia="zh-CN" w:bidi="ar-SA"/>
        </w:rPr>
        <w:t>元，公告费</w:t>
      </w:r>
      <w:r>
        <w:rPr>
          <w:rFonts w:ascii="宋体" w:eastAsia="宋体" w:hAnsi="宋体" w:cs="宋体"/>
          <w:color w:val="000000"/>
          <w:sz w:val="27"/>
          <w:szCs w:val="27"/>
          <w:lang w:val="en-US" w:eastAsia="zh-CN" w:bidi="ar-SA"/>
        </w:rPr>
        <w:t>650</w:t>
      </w:r>
      <w:r>
        <w:rPr>
          <w:rFonts w:ascii="宋体" w:eastAsia="宋体" w:hAnsi="宋体" w:cs="宋体"/>
          <w:color w:val="000000"/>
          <w:sz w:val="27"/>
          <w:szCs w:val="27"/>
          <w:lang w:val="en-US" w:eastAsia="zh-CN" w:bidi="ar-SA"/>
        </w:rPr>
        <w:t>元（由原告垫付），合计</w:t>
      </w:r>
      <w:r>
        <w:rPr>
          <w:rFonts w:ascii="宋体" w:eastAsia="宋体" w:hAnsi="宋体" w:cs="宋体"/>
          <w:color w:val="000000"/>
          <w:sz w:val="27"/>
          <w:szCs w:val="27"/>
          <w:lang w:val="en-US" w:eastAsia="zh-CN" w:bidi="ar-SA"/>
        </w:rPr>
        <w:t>950</w:t>
      </w:r>
      <w:r>
        <w:rPr>
          <w:rFonts w:ascii="宋体" w:eastAsia="宋体" w:hAnsi="宋体" w:cs="宋体"/>
          <w:color w:val="000000"/>
          <w:sz w:val="27"/>
          <w:szCs w:val="27"/>
          <w:lang w:val="en-US" w:eastAsia="zh-CN" w:bidi="ar-SA"/>
        </w:rPr>
        <w:t>元，由被告代涛负担。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如不服本判决，可在判决书送达之日起十五日内向本院递交上诉状，并按对方当事人的人数提出副本，上诉于浙江省温州市中级人民法院。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3" w:name="anchor-3"/>
      <w:bookmarkEnd w:id="3"/>
    </w:p>
    <w:p w14:paraId="29114785" w14:textId="77777777" w:rsidR="00000000" w:rsidRDefault="00D83204">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张宪武</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鲍黎明</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陈木区</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二〇一九年四月十六日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代书　记员　邱琪琦</w:t>
      </w:r>
    </w:p>
    <w:p w14:paraId="16F17962" w14:textId="77777777" w:rsidR="00000000" w:rsidRDefault="00D83204">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4" w:name="anchor-4"/>
      <w:bookmarkEnd w:id="4"/>
      <w:r>
        <w:rPr>
          <w:rFonts w:ascii="宋体" w:eastAsia="宋体" w:hAnsi="宋体" w:cs="宋体"/>
          <w:color w:val="000000"/>
          <w:sz w:val="27"/>
          <w:szCs w:val="27"/>
          <w:lang w:val="en-US" w:eastAsia="zh-CN" w:bidi="ar-SA"/>
        </w:rPr>
        <w:t>附告：判决适用的法律条文及当事人应知的相关事项</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一、判决适用的法律条文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5"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6"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7"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8" w:anchor="tiao_210" w:history="1">
        <w:r>
          <w:rPr>
            <w:rStyle w:val="fulltext-wrapfulltexta"/>
            <w:rFonts w:ascii="宋体" w:eastAsia="宋体" w:hAnsi="宋体" w:cs="宋体"/>
            <w:sz w:val="27"/>
            <w:szCs w:val="27"/>
            <w:lang w:val="en-US" w:eastAsia="zh-CN" w:bidi="ar-SA"/>
          </w:rPr>
          <w:t>二百一十条</w:t>
        </w:r>
      </w:hyperlink>
      <w:r>
        <w:rPr>
          <w:rFonts w:ascii="宋体" w:eastAsia="宋体" w:hAnsi="宋体" w:cs="宋体"/>
          <w:color w:val="000000"/>
          <w:sz w:val="27"/>
          <w:szCs w:val="27"/>
          <w:lang w:val="en-US" w:eastAsia="zh-CN" w:bidi="ar-SA"/>
        </w:rPr>
        <w:t>：自然人之间的借款合同，自贷款人提供借款时生效。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9"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20" w:anchor="tiao_211" w:history="1">
        <w:r>
          <w:rPr>
            <w:rStyle w:val="fulltext-wrapfulltexta"/>
            <w:rFonts w:ascii="宋体" w:eastAsia="宋体" w:hAnsi="宋体" w:cs="宋体"/>
            <w:sz w:val="27"/>
            <w:szCs w:val="27"/>
            <w:lang w:val="en-US" w:eastAsia="zh-CN" w:bidi="ar-SA"/>
          </w:rPr>
          <w:t>二百一十一条</w:t>
        </w:r>
      </w:hyperlink>
      <w:r>
        <w:rPr>
          <w:rFonts w:ascii="宋体" w:eastAsia="宋体" w:hAnsi="宋体" w:cs="宋体"/>
          <w:color w:val="000000"/>
          <w:sz w:val="27"/>
          <w:szCs w:val="27"/>
          <w:lang w:val="en-US" w:eastAsia="zh-CN" w:bidi="ar-SA"/>
        </w:rPr>
        <w:t>：自然人之间的借款合同对支付利息没有约定或者约定不明确的，视为不支付利息。自然人之间的借款合同约定支付利息的，借款的利率不得违反国家有关限制借款利率的规定。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1"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22"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：被告经传票传唤，无正当理由拒不到庭的，或者未经法庭许可中途退庭的，可以缺席判决。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二、当事人应知的相关事项</w:t>
      </w:r>
      <w:r>
        <w:rPr>
          <w:rFonts w:ascii="宋体" w:eastAsia="宋体" w:hAnsi="宋体" w:cs="宋体"/>
          <w:color w:val="000000"/>
          <w:sz w:val="27"/>
          <w:szCs w:val="27"/>
          <w:lang w:val="en-US" w:eastAsia="zh-CN" w:bidi="ar-SA"/>
        </w:rPr>
        <w:br/>
        <w:t>1.</w:t>
      </w:r>
      <w:r>
        <w:rPr>
          <w:rFonts w:ascii="宋体" w:eastAsia="宋体" w:hAnsi="宋体" w:cs="宋体"/>
          <w:color w:val="000000"/>
          <w:sz w:val="27"/>
          <w:szCs w:val="27"/>
          <w:lang w:val="en-US" w:eastAsia="zh-CN" w:bidi="ar-SA"/>
        </w:rPr>
        <w:t>上诉人应按一审案件受理费标准预交上诉案件受理费（对财产案件提起上诉的，按照不</w:t>
      </w:r>
      <w:r>
        <w:rPr>
          <w:rFonts w:ascii="宋体" w:eastAsia="宋体" w:hAnsi="宋体" w:cs="宋体"/>
          <w:color w:val="000000"/>
          <w:sz w:val="27"/>
          <w:szCs w:val="27"/>
          <w:lang w:val="en-US" w:eastAsia="zh-CN" w:bidi="ar-SA"/>
        </w:rPr>
        <w:t>服一审判决部分的上诉请求数额交纳案件受理费），在向人民法院提交上诉状时预交到温州市中级人民法院。</w:t>
      </w:r>
      <w:r>
        <w:rPr>
          <w:rFonts w:ascii="宋体" w:eastAsia="宋体" w:hAnsi="宋体" w:cs="宋体"/>
          <w:color w:val="000000"/>
          <w:sz w:val="27"/>
          <w:szCs w:val="27"/>
          <w:lang w:val="en-US" w:eastAsia="zh-CN" w:bidi="ar-SA"/>
        </w:rPr>
        <w:br/>
        <w:t>2.</w:t>
      </w:r>
      <w:r>
        <w:rPr>
          <w:rFonts w:ascii="宋体" w:eastAsia="宋体" w:hAnsi="宋体" w:cs="宋体"/>
          <w:color w:val="000000"/>
          <w:sz w:val="27"/>
          <w:szCs w:val="27"/>
          <w:lang w:val="en-US" w:eastAsia="zh-CN" w:bidi="ar-SA"/>
        </w:rPr>
        <w:t>当事人一般应自案件裁判文书生效后</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日内向人民法院领取裁判文书生效通知书。</w:t>
      </w:r>
      <w:r>
        <w:rPr>
          <w:rFonts w:ascii="宋体" w:eastAsia="宋体" w:hAnsi="宋体" w:cs="宋体"/>
          <w:color w:val="000000"/>
          <w:sz w:val="27"/>
          <w:szCs w:val="27"/>
          <w:lang w:val="en-US" w:eastAsia="zh-CN" w:bidi="ar-SA"/>
        </w:rPr>
        <w:br/>
        <w:t>3.</w:t>
      </w:r>
      <w:r>
        <w:rPr>
          <w:rFonts w:ascii="宋体" w:eastAsia="宋体" w:hAnsi="宋体" w:cs="宋体"/>
          <w:color w:val="000000"/>
          <w:sz w:val="27"/>
          <w:szCs w:val="27"/>
          <w:lang w:val="en-US" w:eastAsia="zh-CN" w:bidi="ar-SA"/>
        </w:rPr>
        <w:t>需要退还诉讼费用的，当事人应在裁判文书生效后</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日内来院办理诉讼费用退费手续。</w:t>
      </w:r>
      <w:r>
        <w:rPr>
          <w:rFonts w:ascii="宋体" w:eastAsia="宋体" w:hAnsi="宋体" w:cs="宋体"/>
          <w:color w:val="000000"/>
          <w:sz w:val="27"/>
          <w:szCs w:val="27"/>
          <w:lang w:val="en-US" w:eastAsia="zh-CN" w:bidi="ar-SA"/>
        </w:rPr>
        <w:br/>
        <w:t>4.</w:t>
      </w:r>
      <w:r>
        <w:rPr>
          <w:rFonts w:ascii="宋体" w:eastAsia="宋体" w:hAnsi="宋体" w:cs="宋体"/>
          <w:color w:val="000000"/>
          <w:sz w:val="27"/>
          <w:szCs w:val="27"/>
          <w:lang w:val="en-US" w:eastAsia="zh-CN" w:bidi="ar-SA"/>
        </w:rPr>
        <w:t>义务人未按期履行生效法律文书确定内容的，权利人应在法律文书生效之日起或法律文书确定的履行期限届满之日起两年内向法院申请执行。</w:t>
      </w:r>
      <w:r>
        <w:rPr>
          <w:rFonts w:ascii="宋体" w:eastAsia="宋体" w:hAnsi="宋体" w:cs="宋体"/>
          <w:color w:val="000000"/>
          <w:sz w:val="27"/>
          <w:szCs w:val="27"/>
          <w:lang w:val="en-US" w:eastAsia="zh-CN" w:bidi="ar-SA"/>
        </w:rPr>
        <w:br/>
        <w:t>5.</w:t>
      </w:r>
      <w:r>
        <w:rPr>
          <w:rFonts w:ascii="宋体" w:eastAsia="宋体" w:hAnsi="宋体" w:cs="宋体"/>
          <w:color w:val="000000"/>
          <w:sz w:val="27"/>
          <w:szCs w:val="27"/>
          <w:lang w:val="en-US" w:eastAsia="zh-CN" w:bidi="ar-SA"/>
        </w:rPr>
        <w:t>申请执行具有执行风险，权利人应当有执行风险意识，人民法院依照法定程序执行，如法院已穷尽执行手段，而义务人已丧失履行法</w:t>
      </w:r>
      <w:r>
        <w:rPr>
          <w:rFonts w:ascii="宋体" w:eastAsia="宋体" w:hAnsi="宋体" w:cs="宋体"/>
          <w:color w:val="000000"/>
          <w:sz w:val="27"/>
          <w:szCs w:val="27"/>
          <w:lang w:val="en-US" w:eastAsia="zh-CN" w:bidi="ar-SA"/>
        </w:rPr>
        <w:t>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r>
        <w:rPr>
          <w:rFonts w:ascii="宋体" w:eastAsia="宋体" w:hAnsi="宋体" w:cs="宋体"/>
          <w:color w:val="000000"/>
          <w:sz w:val="27"/>
          <w:szCs w:val="27"/>
          <w:lang w:val="en-US" w:eastAsia="zh-CN" w:bidi="ar-SA"/>
        </w:rPr>
        <w:br/>
        <w:t>6.</w:t>
      </w:r>
      <w:r>
        <w:rPr>
          <w:rFonts w:ascii="宋体" w:eastAsia="宋体" w:hAnsi="宋体" w:cs="宋体"/>
          <w:color w:val="000000"/>
          <w:sz w:val="27"/>
          <w:szCs w:val="27"/>
          <w:lang w:val="en-US" w:eastAsia="zh-CN" w:bidi="ar-SA"/>
        </w:rPr>
        <w:t>执行期间人民法院有权对义务人的财产采取查封、扣押、冻结、搜查、拍卖、变卖等强制性措施；法院将依情节轻重限制义务人的高消费、纳入失信名单，向社会公布并通报征信机构，依法予以信用惩戒。</w:t>
      </w:r>
      <w:r>
        <w:rPr>
          <w:rFonts w:ascii="宋体" w:eastAsia="宋体" w:hAnsi="宋体" w:cs="宋体"/>
          <w:color w:val="000000"/>
          <w:sz w:val="27"/>
          <w:szCs w:val="27"/>
          <w:lang w:val="en-US" w:eastAsia="zh-CN" w:bidi="ar-SA"/>
        </w:rPr>
        <w:br/>
        <w:t>7.</w:t>
      </w:r>
      <w:r>
        <w:rPr>
          <w:rFonts w:ascii="宋体" w:eastAsia="宋体" w:hAnsi="宋体" w:cs="宋体"/>
          <w:color w:val="000000"/>
          <w:sz w:val="27"/>
          <w:szCs w:val="27"/>
          <w:lang w:val="en-US" w:eastAsia="zh-CN" w:bidi="ar-SA"/>
        </w:rPr>
        <w:t>人民法院对义务人拒不履行生效法律文书内容或逾期不申报、虚假申报财产的，可以采取罚款、拘留等措施，构成犯罪的，依法追究刑</w:t>
      </w:r>
      <w:r>
        <w:rPr>
          <w:rFonts w:ascii="宋体" w:eastAsia="宋体" w:hAnsi="宋体" w:cs="宋体"/>
          <w:color w:val="000000"/>
          <w:sz w:val="27"/>
          <w:szCs w:val="27"/>
          <w:lang w:val="en-US" w:eastAsia="zh-CN" w:bidi="ar-SA"/>
        </w:rPr>
        <w:t>事责任。</w:t>
      </w:r>
      <w:r>
        <w:rPr>
          <w:rFonts w:ascii="宋体" w:eastAsia="宋体" w:hAnsi="宋体" w:cs="宋体"/>
          <w:color w:val="000000"/>
          <w:sz w:val="27"/>
          <w:szCs w:val="27"/>
          <w:lang w:val="en-US" w:eastAsia="zh-CN" w:bidi="ar-SA"/>
        </w:rPr>
        <w:br/>
        <w:t>8.</w:t>
      </w:r>
      <w:r>
        <w:rPr>
          <w:rFonts w:ascii="宋体" w:eastAsia="宋体" w:hAnsi="宋体" w:cs="宋体"/>
          <w:color w:val="000000"/>
          <w:sz w:val="27"/>
          <w:szCs w:val="27"/>
          <w:lang w:val="en-US" w:eastAsia="zh-CN" w:bidi="ar-SA"/>
        </w:rPr>
        <w:t>义务人具有中共党员、人大代表、政协委员、公职人员等特殊身份，执行立案后拒不履行义务的，人民法院将向其所在单位及纪律监察部门、组织人身部门通报失信行为，并严格采取惩戒、制裁措施。</w:t>
      </w:r>
      <w:r>
        <w:rPr>
          <w:rFonts w:ascii="宋体" w:eastAsia="宋体" w:hAnsi="宋体" w:cs="宋体"/>
          <w:color w:val="000000"/>
          <w:sz w:val="27"/>
          <w:szCs w:val="27"/>
          <w:lang w:val="en-US" w:eastAsia="zh-CN" w:bidi="ar-SA"/>
        </w:rPr>
        <w:t xml:space="preserve"> </w:t>
      </w:r>
    </w:p>
    <w:p w14:paraId="48CA63B1" w14:textId="77777777" w:rsidR="00000000" w:rsidRDefault="00D83204">
      <w:pPr>
        <w:ind w:left="375" w:right="375"/>
        <w:rPr>
          <w:rFonts w:ascii="Arial" w:eastAsia="Arial" w:hAnsi="Arial" w:cs="Arial"/>
          <w:lang w:val="en-US" w:eastAsia="zh-CN" w:bidi="ar-SA"/>
        </w:rPr>
      </w:pPr>
      <w:r>
        <w:rPr>
          <w:rFonts w:ascii="Arial" w:eastAsia="Arial" w:hAnsi="Arial" w:cs="Arial"/>
          <w:lang w:val="en-US" w:eastAsia="zh-CN" w:bidi="ar-SA"/>
        </w:rPr>
        <w:br/>
      </w:r>
    </w:p>
    <w:p w14:paraId="175F54E5" w14:textId="77777777" w:rsidR="00000000" w:rsidRDefault="00A77B3E">
      <w:pPr>
        <w:spacing w:line="630" w:lineRule="atLeast"/>
        <w:rPr>
          <w:rFonts w:eastAsia="Times New Roman"/>
          <w:sz w:val="26"/>
          <w:szCs w:val="26"/>
          <w:lang w:val="en-US" w:eastAsia="zh-CN" w:bidi="ar-SA"/>
        </w:rPr>
      </w:pPr>
      <w:r>
        <w:br w:type="page"/>
      </w:r>
      <w:r w:rsidR="00D83204">
        <w:rPr>
          <w:rFonts w:eastAsia="Times New Roman"/>
          <w:sz w:val="26"/>
          <w:szCs w:val="26"/>
          <w:lang w:val="en-US" w:eastAsia="zh-CN" w:bidi="ar-SA"/>
        </w:rPr>
        <w:t>©北大法宝：（</w:t>
      </w:r>
      <w:hyperlink r:id="rId23" w:history="1">
        <w:r w:rsidR="00D83204">
          <w:rPr>
            <w:rFonts w:eastAsia="Times New Roman"/>
            <w:color w:val="218FC4"/>
            <w:sz w:val="26"/>
            <w:szCs w:val="26"/>
            <w:u w:val="single" w:color="218FC4"/>
            <w:lang w:val="en-US" w:eastAsia="zh-CN" w:bidi="ar-SA"/>
          </w:rPr>
          <w:t>www.pkulaw.com</w:t>
        </w:r>
      </w:hyperlink>
      <w:r w:rsidR="00D83204">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4" w:tgtFrame="_blank" w:history="1">
        <w:r w:rsidR="00D83204">
          <w:rPr>
            <w:rFonts w:eastAsia="Times New Roman"/>
            <w:color w:val="218FC4"/>
            <w:sz w:val="26"/>
            <w:szCs w:val="26"/>
            <w:u w:val="single" w:color="218FC4"/>
            <w:lang w:val="en-US" w:eastAsia="zh-CN" w:bidi="ar-SA"/>
          </w:rPr>
          <w:t>产品和服务</w:t>
        </w:r>
      </w:hyperlink>
      <w:r w:rsidR="00D83204">
        <w:rPr>
          <w:rFonts w:eastAsia="Times New Roman"/>
          <w:sz w:val="26"/>
          <w:szCs w:val="26"/>
          <w:lang w:val="en-US" w:eastAsia="zh-CN" w:bidi="ar-SA"/>
        </w:rPr>
        <w:t>。</w:t>
      </w:r>
      <w:r w:rsidR="00D83204">
        <w:rPr>
          <w:rFonts w:eastAsia="Times New Roman"/>
          <w:sz w:val="26"/>
          <w:szCs w:val="26"/>
          <w:lang w:val="en-US" w:eastAsia="zh-CN" w:bidi="ar-SA"/>
        </w:rPr>
        <w:br/>
      </w:r>
      <w:hyperlink r:id="rId25" w:tgtFrame="_blank" w:history="1">
        <w:r w:rsidR="00D83204">
          <w:rPr>
            <w:rFonts w:eastAsia="Times New Roman"/>
            <w:color w:val="218FC4"/>
            <w:sz w:val="26"/>
            <w:szCs w:val="26"/>
            <w:u w:val="single" w:color="218FC4"/>
            <w:lang w:val="en-US" w:eastAsia="zh-CN" w:bidi="ar-SA"/>
          </w:rPr>
          <w:t>法宝快讯： 如何快速找到您需要的检索结果？ 法宝 V6 有何新特色？</w:t>
        </w:r>
      </w:hyperlink>
    </w:p>
    <w:p w14:paraId="3F4895A1" w14:textId="77777777" w:rsidR="00000000" w:rsidRDefault="00D83204">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6" o:title=""/>
          </v:shape>
        </w:pict>
      </w:r>
    </w:p>
    <w:p w14:paraId="5EA1236B" w14:textId="77777777" w:rsidR="00000000" w:rsidRDefault="00D83204">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66D8A938" w14:textId="77777777" w:rsidR="00000000" w:rsidRDefault="00D83204">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7" w:tgtFrame="_blank" w:history="1">
        <w:r>
          <w:rPr>
            <w:rFonts w:eastAsia="Times New Roman"/>
            <w:color w:val="000000"/>
            <w:sz w:val="26"/>
            <w:szCs w:val="26"/>
            <w:u w:val="single" w:color="000000"/>
            <w:lang w:val="en-US" w:eastAsia="zh-CN" w:bidi="ar-SA"/>
          </w:rPr>
          <w:t xml:space="preserve">https://www.pkulaw.com/pfnl/a6bdb3332ec0adc43c45da27f77ab3937360cf453e20cd2cbdfb.html </w:t>
        </w:r>
      </w:hyperlink>
    </w:p>
    <w:p w14:paraId="20E0B205" w14:textId="77777777" w:rsidR="00A77B3E" w:rsidRDefault="00A77B3E"/>
    <w:sectPr w:rsidR="00A77B3E">
      <w:headerReference w:type="default" r:id="rId28"/>
      <w:footerReference w:type="default" r:id="rId29"/>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90ABC" w14:textId="77777777" w:rsidR="00000000" w:rsidRDefault="00D83204">
      <w:r>
        <w:separator/>
      </w:r>
    </w:p>
  </w:endnote>
  <w:endnote w:type="continuationSeparator" w:id="0">
    <w:p w14:paraId="11F17072" w14:textId="77777777" w:rsidR="00000000" w:rsidRDefault="00D83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71959F8F" w14:textId="77777777">
      <w:trPr>
        <w:tblCellSpacing w:w="15" w:type="dxa"/>
      </w:trPr>
      <w:tc>
        <w:tcPr>
          <w:tcW w:w="1530" w:type="dxa"/>
          <w:tcMar>
            <w:top w:w="15" w:type="dxa"/>
            <w:left w:w="15" w:type="dxa"/>
            <w:bottom w:w="15" w:type="dxa"/>
            <w:right w:w="15" w:type="dxa"/>
          </w:tcMar>
          <w:vAlign w:val="center"/>
          <w:hideMark/>
        </w:tcPr>
        <w:p w14:paraId="69BFA2A5" w14:textId="77777777" w:rsidR="00000000" w:rsidRDefault="00D83204">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77CF950A" w14:textId="77777777" w:rsidR="00000000" w:rsidRDefault="00D83204">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141725C4" w14:textId="77777777" w:rsidR="00000000" w:rsidRDefault="00D8320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A3A23" w14:textId="77777777" w:rsidR="00000000" w:rsidRDefault="00D83204">
      <w:r>
        <w:separator/>
      </w:r>
    </w:p>
  </w:footnote>
  <w:footnote w:type="continuationSeparator" w:id="0">
    <w:p w14:paraId="3AD02BAB" w14:textId="77777777" w:rsidR="00000000" w:rsidRDefault="00D832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7C0D748C" w14:textId="77777777">
      <w:trPr>
        <w:tblCellSpacing w:w="15" w:type="dxa"/>
      </w:trPr>
      <w:tc>
        <w:tcPr>
          <w:tcW w:w="0" w:type="auto"/>
          <w:tcMar>
            <w:top w:w="15" w:type="dxa"/>
            <w:left w:w="15" w:type="dxa"/>
            <w:bottom w:w="15" w:type="dxa"/>
            <w:right w:w="15" w:type="dxa"/>
          </w:tcMar>
          <w:vAlign w:val="center"/>
          <w:hideMark/>
        </w:tcPr>
        <w:p w14:paraId="46C39692" w14:textId="77777777" w:rsidR="00000000" w:rsidRDefault="00D83204">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58742DCA" w14:textId="77777777" w:rsidR="00000000" w:rsidRDefault="00D83204">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CLI.C.89389227</w:t>
          </w:r>
        </w:p>
      </w:tc>
    </w:tr>
  </w:tbl>
  <w:p w14:paraId="2B3D1AB8" w14:textId="77777777" w:rsidR="00000000" w:rsidRDefault="00D832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77B3E"/>
    <w:rsid w:val="00CA2A55"/>
    <w:rsid w:val="00D8320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3690A7"/>
  <w15:chartTrackingRefBased/>
  <w15:docId w15:val="{5AC541A2-ECE6-4254-88FE-5C94F0F94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D832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83204"/>
    <w:rPr>
      <w:sz w:val="18"/>
      <w:szCs w:val="18"/>
    </w:rPr>
  </w:style>
  <w:style w:type="paragraph" w:styleId="a5">
    <w:name w:val="footer"/>
    <w:basedOn w:val="a"/>
    <w:link w:val="a6"/>
    <w:rsid w:val="00D83204"/>
    <w:pPr>
      <w:tabs>
        <w:tab w:val="center" w:pos="4153"/>
        <w:tab w:val="right" w:pos="8306"/>
      </w:tabs>
      <w:snapToGrid w:val="0"/>
    </w:pPr>
    <w:rPr>
      <w:sz w:val="18"/>
      <w:szCs w:val="18"/>
    </w:rPr>
  </w:style>
  <w:style w:type="character" w:customStyle="1" w:styleId="a6">
    <w:name w:val="页脚 字符"/>
    <w:basedOn w:val="a0"/>
    <w:link w:val="a5"/>
    <w:rsid w:val="00D832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s://www.pkulaw.com/chl/d33df017c784876fbdfb.html?way=textSlc" TargetMode="External"/><Relationship Id="rId18" Type="http://schemas.openxmlformats.org/officeDocument/2006/relationships/hyperlink" Target="https://www.pkulaw.com/chl/2367b1767194112cbdfb.html?way=textSlc"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www.pkulaw.com/chl/d33df017c784876fbdfb.html?way=textSlc" TargetMode="External"/><Relationship Id="rId7" Type="http://schemas.openxmlformats.org/officeDocument/2006/relationships/hyperlink" Target="https://www.pkulaw.com/chl/2367b1767194112cbdfb.html?way=textSlc" TargetMode="External"/><Relationship Id="rId12" Type="http://schemas.openxmlformats.org/officeDocument/2006/relationships/hyperlink" Target="https://www.pkulaw.com/chl/d33df017c784876fbdfb.html?way=textSlc" TargetMode="External"/><Relationship Id="rId17" Type="http://schemas.openxmlformats.org/officeDocument/2006/relationships/hyperlink" Target="https://www.pkulaw.com/chl/2367b1767194112cbdfb.html?way=textSlc" TargetMode="External"/><Relationship Id="rId25" Type="http://schemas.openxmlformats.org/officeDocument/2006/relationships/hyperlink" Target="http://www.pkulaw.com/helps/69.html" TargetMode="External"/><Relationship Id="rId2" Type="http://schemas.openxmlformats.org/officeDocument/2006/relationships/styles" Target="styles.xml"/><Relationship Id="rId16" Type="http://schemas.openxmlformats.org/officeDocument/2006/relationships/hyperlink" Target="https://www.pkulaw.com/chl/2367b1767194112cbdfb.html?way=textSlc" TargetMode="External"/><Relationship Id="rId20" Type="http://schemas.openxmlformats.org/officeDocument/2006/relationships/hyperlink" Target="https://www.pkulaw.com/chl/2367b1767194112cbdfb.html?way=textSlc"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d33df017c784876fbdfb.html?way=textSlc" TargetMode="External"/><Relationship Id="rId24" Type="http://schemas.openxmlformats.org/officeDocument/2006/relationships/hyperlink" Target="http://www.pkulaw.net/" TargetMode="External"/><Relationship Id="rId5" Type="http://schemas.openxmlformats.org/officeDocument/2006/relationships/footnotes" Target="footnotes.xml"/><Relationship Id="rId15" Type="http://schemas.openxmlformats.org/officeDocument/2006/relationships/hyperlink" Target="https://www.pkulaw.com/chl/2367b1767194112cbdfb.html?way=textSlc" TargetMode="External"/><Relationship Id="rId23" Type="http://schemas.openxmlformats.org/officeDocument/2006/relationships/hyperlink" Target="https://www.pkulaw.com" TargetMode="External"/><Relationship Id="rId28" Type="http://schemas.openxmlformats.org/officeDocument/2006/relationships/header" Target="header1.xml"/><Relationship Id="rId10" Type="http://schemas.openxmlformats.org/officeDocument/2006/relationships/hyperlink" Target="https://www.pkulaw.com/chl/2367b1767194112cbdfb.html?way=textSlc" TargetMode="External"/><Relationship Id="rId19" Type="http://schemas.openxmlformats.org/officeDocument/2006/relationships/hyperlink" Target="https://www.pkulaw.com/chl/2367b1767194112cbdfb.html?way=textSlc"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d33df017c784876fbdfb.html?way=textSlc" TargetMode="External"/><Relationship Id="rId22" Type="http://schemas.openxmlformats.org/officeDocument/2006/relationships/hyperlink" Target="https://www.pkulaw.com/chl/d33df017c784876fbdfb.html?way=textSlc" TargetMode="External"/><Relationship Id="rId27" Type="http://schemas.openxmlformats.org/officeDocument/2006/relationships/hyperlink" Target="https://www.pkulaw.com/pfnl/a6bdb3332ec0adc43c45da27f77ab3937360cf453e20cd2cbdfb.html"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2024-05-11T15:37:00Z</dcterms:created>
  <dcterms:modified xsi:type="dcterms:W3CDTF">2024-05-11T15:37:00Z</dcterms:modified>
</cp:coreProperties>
</file>