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B79D" w14:textId="77777777" w:rsidR="00000000" w:rsidRDefault="007461C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原告朱锰与被告管乐平、周丽容民间借贷纠纷案</w:t>
      </w:r>
    </w:p>
    <w:p w14:paraId="6A88EB3B" w14:textId="77777777" w:rsidR="00000000" w:rsidRDefault="007461CD">
      <w:pPr>
        <w:ind w:left="375" w:right="375"/>
        <w:rPr>
          <w:rFonts w:ascii="Arial" w:eastAsia="Arial" w:hAnsi="Arial" w:cs="Arial"/>
          <w:lang w:val="en-US" w:eastAsia="zh-CN" w:bidi="ar-SA"/>
        </w:rPr>
      </w:pPr>
      <w:r>
        <w:rPr>
          <w:rFonts w:ascii="Arial" w:eastAsia="Arial" w:hAnsi="Arial" w:cs="Arial"/>
          <w:lang w:val="en-US" w:eastAsia="zh-CN" w:bidi="ar-SA"/>
        </w:rPr>
        <w:br/>
      </w:r>
    </w:p>
    <w:p w14:paraId="21B5378A" w14:textId="77777777" w:rsidR="00000000" w:rsidRDefault="007461C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原告朱锰与被告管乐平、周丽容民间借贷纠纷案</w:t>
      </w:r>
    </w:p>
    <w:p w14:paraId="40205B56" w14:textId="77777777" w:rsidR="00000000" w:rsidRDefault="007461CD">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45CC08B" w14:textId="77777777" w:rsidR="00000000" w:rsidRDefault="007461CD">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民初第</w:t>
      </w:r>
      <w:r>
        <w:rPr>
          <w:rStyle w:val="span"/>
          <w:rFonts w:ascii="宋体" w:eastAsia="宋体" w:hAnsi="宋体" w:cs="宋体"/>
          <w:color w:val="000000"/>
          <w:sz w:val="27"/>
          <w:szCs w:val="27"/>
          <w:lang w:val="en-US" w:eastAsia="zh-CN" w:bidi="ar-SA"/>
        </w:rPr>
        <w:t>785</w:t>
      </w:r>
      <w:r>
        <w:rPr>
          <w:rStyle w:val="span"/>
          <w:rFonts w:ascii="宋体" w:eastAsia="宋体" w:hAnsi="宋体" w:cs="宋体"/>
          <w:color w:val="000000"/>
          <w:sz w:val="27"/>
          <w:szCs w:val="27"/>
          <w:lang w:val="en-US" w:eastAsia="zh-CN" w:bidi="ar-SA"/>
        </w:rPr>
        <w:t>号</w:t>
      </w:r>
    </w:p>
    <w:p w14:paraId="65536737" w14:textId="77777777" w:rsidR="00000000" w:rsidRDefault="007461CD">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原告：朱锰。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委托代理人：朱慧。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被告：管乐平。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委托代理人：陈继聪，</w:t>
      </w:r>
      <w:hyperlink r:id="rId7" w:history="1">
        <w:r>
          <w:rPr>
            <w:rStyle w:val="fulltext-wrapfulltexta"/>
            <w:rFonts w:ascii="宋体" w:eastAsia="宋体" w:hAnsi="宋体" w:cs="宋体"/>
            <w:sz w:val="27"/>
            <w:szCs w:val="27"/>
            <w:lang w:val="en-US" w:eastAsia="zh-CN" w:bidi="ar-SA"/>
          </w:rPr>
          <w:t>浙江泽商（洞头）律师事务所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被告：周丽容。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委托代理人：朱晓斌，</w:t>
      </w:r>
      <w:hyperlink r:id="rId8" w:history="1">
        <w:r>
          <w:rPr>
            <w:rStyle w:val="fulltext-wrapfulltexta"/>
            <w:rFonts w:ascii="宋体" w:eastAsia="宋体" w:hAnsi="宋体" w:cs="宋体"/>
            <w:sz w:val="27"/>
            <w:szCs w:val="27"/>
            <w:lang w:val="en-US" w:eastAsia="zh-CN" w:bidi="ar-SA"/>
          </w:rPr>
          <w:t>浙江泽商（洞头）律师事务所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原告朱锰与被告管乐平、周丽容民间借贷纠纷一案，本院于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日立案受理，依法由审判员陈相隆适用简易程序公开开庭进行了审理，并当庭宣告判决，原告的委托代理人朱慧、被告管乐平的委托代理人陈继聪、被告周丽容的委托代理人朱晓斌到庭参加诉讼。</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1" w:name="anchor-2"/>
      <w:bookmarkEnd w:id="1"/>
      <w:r>
        <w:rPr>
          <w:rFonts w:ascii="宋体" w:eastAsia="宋体" w:hAnsi="宋体" w:cs="宋体"/>
          <w:color w:val="000000"/>
          <w:sz w:val="27"/>
          <w:szCs w:val="27"/>
          <w:lang w:val="en-US" w:eastAsia="zh-CN" w:bidi="ar-SA"/>
        </w:rPr>
        <w:t xml:space="preserve">　　原告朱锰起诉称：</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日，被告管乐平向原告借款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万元，约定</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日归还，月利率</w:t>
      </w:r>
      <w:r>
        <w:rPr>
          <w:rFonts w:ascii="宋体" w:eastAsia="宋体" w:hAnsi="宋体" w:cs="宋体"/>
          <w:color w:val="000000"/>
          <w:sz w:val="27"/>
          <w:szCs w:val="27"/>
          <w:lang w:val="en-US" w:eastAsia="zh-CN" w:bidi="ar-SA"/>
        </w:rPr>
        <w:t>45‰</w:t>
      </w:r>
      <w:r>
        <w:rPr>
          <w:rFonts w:ascii="宋体" w:eastAsia="宋体" w:hAnsi="宋体" w:cs="宋体"/>
          <w:color w:val="000000"/>
          <w:sz w:val="27"/>
          <w:szCs w:val="27"/>
          <w:lang w:val="en-US" w:eastAsia="zh-CN" w:bidi="ar-SA"/>
        </w:rPr>
        <w:t>，并由其妻周丽容提供担保。期间，被告管乐平</w:t>
      </w:r>
      <w:r>
        <w:rPr>
          <w:rFonts w:ascii="宋体" w:eastAsia="宋体" w:hAnsi="宋体" w:cs="宋体"/>
          <w:color w:val="000000"/>
          <w:sz w:val="27"/>
          <w:szCs w:val="27"/>
          <w:lang w:val="en-US" w:eastAsia="zh-CN" w:bidi="ar-SA"/>
        </w:rPr>
        <w:t>支付利息</w:t>
      </w:r>
      <w:r>
        <w:rPr>
          <w:rFonts w:ascii="宋体" w:eastAsia="宋体" w:hAnsi="宋体" w:cs="宋体"/>
          <w:color w:val="000000"/>
          <w:sz w:val="27"/>
          <w:szCs w:val="27"/>
          <w:lang w:val="en-US" w:eastAsia="zh-CN" w:bidi="ar-SA"/>
        </w:rPr>
        <w:t>13500</w:t>
      </w:r>
      <w:r>
        <w:rPr>
          <w:rFonts w:ascii="宋体" w:eastAsia="宋体" w:hAnsi="宋体" w:cs="宋体"/>
          <w:color w:val="000000"/>
          <w:sz w:val="27"/>
          <w:szCs w:val="27"/>
          <w:lang w:val="en-US" w:eastAsia="zh-CN" w:bidi="ar-SA"/>
        </w:rPr>
        <w:t>元，借款到期后，原告多次向两被告催讨，周丽容至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日止支付利息</w:t>
      </w:r>
      <w:r>
        <w:rPr>
          <w:rFonts w:ascii="宋体" w:eastAsia="宋体" w:hAnsi="宋体" w:cs="宋体"/>
          <w:color w:val="000000"/>
          <w:sz w:val="27"/>
          <w:szCs w:val="27"/>
          <w:lang w:val="en-US" w:eastAsia="zh-CN" w:bidi="ar-SA"/>
        </w:rPr>
        <w:t>48000</w:t>
      </w:r>
      <w:r>
        <w:rPr>
          <w:rFonts w:ascii="宋体" w:eastAsia="宋体" w:hAnsi="宋体" w:cs="宋体"/>
          <w:color w:val="000000"/>
          <w:sz w:val="27"/>
          <w:szCs w:val="27"/>
          <w:lang w:val="en-US" w:eastAsia="zh-CN" w:bidi="ar-SA"/>
        </w:rPr>
        <w:t>元。现原告同意将利息调整为按月利率</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计算，截止至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日，被告管乐平尚欠本金</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173400</w:t>
      </w:r>
      <w:r>
        <w:rPr>
          <w:rFonts w:ascii="宋体" w:eastAsia="宋体" w:hAnsi="宋体" w:cs="宋体"/>
          <w:color w:val="000000"/>
          <w:sz w:val="27"/>
          <w:szCs w:val="27"/>
          <w:lang w:val="en-US" w:eastAsia="zh-CN" w:bidi="ar-SA"/>
        </w:rPr>
        <w:t>元，故原告起诉请求：一、判令被告管乐平偿还原告本金</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lastRenderedPageBreak/>
        <w:t>（计算至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日利息为</w:t>
      </w:r>
      <w:r>
        <w:rPr>
          <w:rFonts w:ascii="宋体" w:eastAsia="宋体" w:hAnsi="宋体" w:cs="宋体"/>
          <w:color w:val="000000"/>
          <w:sz w:val="27"/>
          <w:szCs w:val="27"/>
          <w:lang w:val="en-US" w:eastAsia="zh-CN" w:bidi="ar-SA"/>
        </w:rPr>
        <w:t>173400</w:t>
      </w:r>
      <w:r>
        <w:rPr>
          <w:rFonts w:ascii="宋体" w:eastAsia="宋体" w:hAnsi="宋体" w:cs="宋体"/>
          <w:color w:val="000000"/>
          <w:sz w:val="27"/>
          <w:szCs w:val="27"/>
          <w:lang w:val="en-US" w:eastAsia="zh-CN" w:bidi="ar-SA"/>
        </w:rPr>
        <w:t>元，另从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日起按月利率</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计算至履行完毕之日止）。二、判令被告周丽容作为共同债务人和担保人，为以上债务负连带责任。审理中，原告变更诉讼请求中的利息部分再减</w:t>
      </w:r>
      <w:r>
        <w:rPr>
          <w:rFonts w:ascii="宋体" w:eastAsia="宋体" w:hAnsi="宋体" w:cs="宋体"/>
          <w:color w:val="000000"/>
          <w:sz w:val="27"/>
          <w:szCs w:val="27"/>
          <w:lang w:val="en-US" w:eastAsia="zh-CN" w:bidi="ar-SA"/>
        </w:rPr>
        <w:t>去</w:t>
      </w:r>
      <w:r>
        <w:rPr>
          <w:rFonts w:ascii="宋体" w:eastAsia="宋体" w:hAnsi="宋体" w:cs="宋体"/>
          <w:color w:val="000000"/>
          <w:sz w:val="27"/>
          <w:szCs w:val="27"/>
          <w:lang w:val="en-US" w:eastAsia="zh-CN" w:bidi="ar-SA"/>
        </w:rPr>
        <w:t>11200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2" w:name="anchor-3"/>
      <w:bookmarkEnd w:id="2"/>
      <w:r>
        <w:rPr>
          <w:rFonts w:ascii="宋体" w:eastAsia="宋体" w:hAnsi="宋体" w:cs="宋体"/>
          <w:color w:val="000000"/>
          <w:sz w:val="27"/>
          <w:szCs w:val="27"/>
          <w:lang w:val="en-US" w:eastAsia="zh-CN" w:bidi="ar-SA"/>
        </w:rPr>
        <w:t xml:space="preserve">　　被告管乐平答辩称：向原告借款属实，已支付利息为</w:t>
      </w:r>
      <w:r>
        <w:rPr>
          <w:rFonts w:ascii="宋体" w:eastAsia="宋体" w:hAnsi="宋体" w:cs="宋体"/>
          <w:color w:val="000000"/>
          <w:sz w:val="27"/>
          <w:szCs w:val="27"/>
          <w:lang w:val="en-US" w:eastAsia="zh-CN" w:bidi="ar-SA"/>
        </w:rPr>
        <w:t>24700</w:t>
      </w:r>
      <w:r>
        <w:rPr>
          <w:rFonts w:ascii="宋体" w:eastAsia="宋体" w:hAnsi="宋体" w:cs="宋体"/>
          <w:color w:val="000000"/>
          <w:sz w:val="27"/>
          <w:szCs w:val="27"/>
          <w:lang w:val="en-US" w:eastAsia="zh-CN" w:bidi="ar-SA"/>
        </w:rPr>
        <w:t>元，另外本案诉讼时效已超过，请求驳回原告的诉讼请求。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被告周丽容答辩称</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周丽容没有提供担保，本案的诉讼时效已超过，请求驳回原告的诉讼请求。</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3" w:name="anchor-4"/>
      <w:bookmarkEnd w:id="3"/>
      <w:r>
        <w:rPr>
          <w:rFonts w:ascii="宋体" w:eastAsia="宋体" w:hAnsi="宋体" w:cs="宋体"/>
          <w:color w:val="000000"/>
          <w:sz w:val="27"/>
          <w:szCs w:val="27"/>
          <w:lang w:val="en-US" w:eastAsia="zh-CN" w:bidi="ar-SA"/>
        </w:rPr>
        <w:t xml:space="preserve">　　经审理，本院认定：</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日，被告管乐平向原告借款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万元，约定</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日归还，月利率</w:t>
      </w:r>
      <w:r>
        <w:rPr>
          <w:rFonts w:ascii="宋体" w:eastAsia="宋体" w:hAnsi="宋体" w:cs="宋体"/>
          <w:color w:val="000000"/>
          <w:sz w:val="27"/>
          <w:szCs w:val="27"/>
          <w:lang w:val="en-US" w:eastAsia="zh-CN" w:bidi="ar-SA"/>
        </w:rPr>
        <w:t>45‰</w:t>
      </w:r>
      <w:r>
        <w:rPr>
          <w:rFonts w:ascii="宋体" w:eastAsia="宋体" w:hAnsi="宋体" w:cs="宋体"/>
          <w:color w:val="000000"/>
          <w:sz w:val="27"/>
          <w:szCs w:val="27"/>
          <w:lang w:val="en-US" w:eastAsia="zh-CN" w:bidi="ar-SA"/>
        </w:rPr>
        <w:t>。管乐平分别于</w:t>
      </w:r>
      <w:r>
        <w:rPr>
          <w:rFonts w:ascii="宋体" w:eastAsia="宋体" w:hAnsi="宋体" w:cs="宋体"/>
          <w:color w:val="000000"/>
          <w:sz w:val="27"/>
          <w:szCs w:val="27"/>
          <w:lang w:val="en-US" w:eastAsia="zh-CN" w:bidi="ar-SA"/>
        </w:rPr>
        <w:t>2009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日支付利息</w:t>
      </w:r>
      <w:r>
        <w:rPr>
          <w:rFonts w:ascii="宋体" w:eastAsia="宋体" w:hAnsi="宋体" w:cs="宋体"/>
          <w:color w:val="000000"/>
          <w:sz w:val="27"/>
          <w:szCs w:val="27"/>
          <w:lang w:val="en-US" w:eastAsia="zh-CN" w:bidi="ar-SA"/>
        </w:rPr>
        <w:t>6750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11250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6700</w:t>
      </w:r>
      <w:r>
        <w:rPr>
          <w:rFonts w:ascii="宋体" w:eastAsia="宋体" w:hAnsi="宋体" w:cs="宋体"/>
          <w:color w:val="000000"/>
          <w:sz w:val="27"/>
          <w:szCs w:val="27"/>
          <w:lang w:val="en-US" w:eastAsia="zh-CN" w:bidi="ar-SA"/>
        </w:rPr>
        <w:t>元共计</w:t>
      </w:r>
      <w:r>
        <w:rPr>
          <w:rFonts w:ascii="宋体" w:eastAsia="宋体" w:hAnsi="宋体" w:cs="宋体"/>
          <w:color w:val="000000"/>
          <w:sz w:val="27"/>
          <w:szCs w:val="27"/>
          <w:lang w:val="en-US" w:eastAsia="zh-CN" w:bidi="ar-SA"/>
        </w:rPr>
        <w:t>24700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到期后，被告管乐平未归还借款，原告</w:t>
      </w:r>
      <w:r>
        <w:rPr>
          <w:rFonts w:ascii="宋体" w:eastAsia="宋体" w:hAnsi="宋体" w:cs="宋体"/>
          <w:color w:val="000000"/>
          <w:sz w:val="27"/>
          <w:szCs w:val="27"/>
          <w:lang w:val="en-US" w:eastAsia="zh-CN" w:bidi="ar-SA"/>
        </w:rPr>
        <w:t>向被告管乐平催讨，不久管乐平无法联系，原告遂向被告周丽容催讨。</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日间，被告周丽容分</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次支付原告利息</w:t>
      </w:r>
      <w:r>
        <w:rPr>
          <w:rFonts w:ascii="宋体" w:eastAsia="宋体" w:hAnsi="宋体" w:cs="宋体"/>
          <w:color w:val="000000"/>
          <w:sz w:val="27"/>
          <w:szCs w:val="27"/>
          <w:lang w:val="en-US" w:eastAsia="zh-CN" w:bidi="ar-SA"/>
        </w:rPr>
        <w:t>48000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另认定，</w:t>
      </w:r>
      <w:r>
        <w:rPr>
          <w:rFonts w:ascii="宋体" w:eastAsia="宋体" w:hAnsi="宋体" w:cs="宋体"/>
          <w:color w:val="000000"/>
          <w:sz w:val="27"/>
          <w:szCs w:val="27"/>
          <w:lang w:val="en-US" w:eastAsia="zh-CN" w:bidi="ar-SA"/>
        </w:rPr>
        <w:t>2007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日，两被告登记结婚，</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日，两被告登记离婚。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bookmarkStart w:id="4" w:name="anchor-6"/>
      <w:bookmarkEnd w:id="4"/>
      <w:r>
        <w:rPr>
          <w:rFonts w:ascii="宋体" w:eastAsia="宋体" w:hAnsi="宋体" w:cs="宋体"/>
          <w:color w:val="000000"/>
          <w:sz w:val="27"/>
          <w:szCs w:val="27"/>
          <w:lang w:val="en-US" w:eastAsia="zh-CN" w:bidi="ar-SA"/>
        </w:rPr>
        <w:t>证明上述事实的证据有，原、被告双方的陈述及原告提供的借条、汇款凭证、银行对账单、结婚登记审查处理表、离婚登记审查处理表。被告管乐平提供的离婚证、银行对账单。上列证据均经庭审出示质证，本院经审查，对借条中管乐平的签字的真实性予以确认，对周丽容的签字不予确认，对其余证据均予以认</w:t>
      </w:r>
      <w:r>
        <w:rPr>
          <w:rFonts w:ascii="宋体" w:eastAsia="宋体" w:hAnsi="宋体" w:cs="宋体"/>
          <w:color w:val="000000"/>
          <w:sz w:val="27"/>
          <w:szCs w:val="27"/>
          <w:lang w:val="en-US" w:eastAsia="zh-CN" w:bidi="ar-SA"/>
        </w:rPr>
        <w:t>定。</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5"/>
      <w:bookmarkEnd w:id="5"/>
      <w:r>
        <w:rPr>
          <w:rFonts w:ascii="宋体" w:eastAsia="宋体" w:hAnsi="宋体" w:cs="宋体"/>
          <w:color w:val="000000"/>
          <w:sz w:val="27"/>
          <w:szCs w:val="27"/>
          <w:lang w:val="en-US" w:eastAsia="zh-CN" w:bidi="ar-SA"/>
        </w:rPr>
        <w:t xml:space="preserve">　　本院认为：</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日间，被告周丽容分</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次支付原告</w:t>
      </w:r>
      <w:r>
        <w:rPr>
          <w:rFonts w:ascii="宋体" w:eastAsia="宋体" w:hAnsi="宋体" w:cs="宋体"/>
          <w:color w:val="000000"/>
          <w:sz w:val="27"/>
          <w:szCs w:val="27"/>
          <w:lang w:val="en-US" w:eastAsia="zh-CN" w:bidi="ar-SA"/>
        </w:rPr>
        <w:t>48000</w:t>
      </w:r>
      <w:r>
        <w:rPr>
          <w:rFonts w:ascii="宋体" w:eastAsia="宋体" w:hAnsi="宋体" w:cs="宋体"/>
          <w:color w:val="000000"/>
          <w:sz w:val="27"/>
          <w:szCs w:val="27"/>
          <w:lang w:val="en-US" w:eastAsia="zh-CN" w:bidi="ar-SA"/>
        </w:rPr>
        <w:t>元，说明周丽容同意履行清偿借款本息的义务且已履行部分义务。</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最高人民法院关于审理民事案件适用诉讼时效制度若干问题的规定</w:t>
        </w:r>
      </w:hyperlink>
      <w:r>
        <w:rPr>
          <w:rFonts w:ascii="宋体" w:eastAsia="宋体" w:hAnsi="宋体" w:cs="宋体"/>
          <w:color w:val="000000"/>
          <w:sz w:val="27"/>
          <w:szCs w:val="27"/>
          <w:lang w:val="en-US" w:eastAsia="zh-CN" w:bidi="ar-SA"/>
        </w:rPr>
        <w:t>》第</w:t>
      </w:r>
      <w:hyperlink r:id="rId10" w:anchor="tiao_22" w:history="1">
        <w:r>
          <w:rPr>
            <w:rStyle w:val="fulltext-wrapfulltexta"/>
            <w:rFonts w:ascii="宋体" w:eastAsia="宋体" w:hAnsi="宋体" w:cs="宋体"/>
            <w:sz w:val="27"/>
            <w:szCs w:val="27"/>
            <w:lang w:val="en-US" w:eastAsia="zh-CN" w:bidi="ar-SA"/>
          </w:rPr>
          <w:t>二十二条</w:t>
        </w:r>
      </w:hyperlink>
      <w:r>
        <w:rPr>
          <w:rFonts w:ascii="宋体" w:eastAsia="宋体" w:hAnsi="宋体" w:cs="宋体"/>
          <w:color w:val="000000"/>
          <w:sz w:val="27"/>
          <w:szCs w:val="27"/>
          <w:lang w:val="en-US" w:eastAsia="zh-CN" w:bidi="ar-SA"/>
        </w:rPr>
        <w:t>规定：</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诉讼时效期间届满，当事人一方向对方当事人作出同意履行义务的意思表示或者自愿履行义务后，又以诉讼时效期间届满为由进行抗辩的，人民法院不予支持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。因此，两被告以诉讼时效已届满进行抗辩，本院不予支持。被告管乐平作为借款人，依法应承担清偿借款本息的民事责任，原告自愿调整月利率按</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计算，本院予以确认。本案借款发生在两被告夫妻关系存续期间，应认定为两被告的夫妻共同债务，被告周丽容应承担共同清偿责任，其实质是一种连带责任，原告要求周丽容承</w:t>
      </w:r>
      <w:r>
        <w:rPr>
          <w:rFonts w:ascii="宋体" w:eastAsia="宋体" w:hAnsi="宋体" w:cs="宋体"/>
          <w:color w:val="000000"/>
          <w:sz w:val="27"/>
          <w:szCs w:val="27"/>
          <w:lang w:val="en-US" w:eastAsia="zh-CN" w:bidi="ar-SA"/>
        </w:rPr>
        <w:t>担连带责任，并未加重周丽容的民事责任，故本院予以支持。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依照《</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3"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16"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1"/>
      <w:bookmarkEnd w:id="7"/>
      <w:r>
        <w:rPr>
          <w:rFonts w:ascii="宋体" w:eastAsia="宋体" w:hAnsi="宋体" w:cs="宋体"/>
          <w:color w:val="000000"/>
          <w:sz w:val="27"/>
          <w:szCs w:val="27"/>
          <w:lang w:val="en-US" w:eastAsia="zh-CN" w:bidi="ar-SA"/>
        </w:rPr>
        <w:t xml:space="preserve">　　一、被告管乐平应于本判决生效之日起十日内偿付原告朱锰借款本金</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万及其利息（从</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日开始按月利率</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计算至本判决确定履行之日止，但应扣除已付的利息</w:t>
      </w:r>
      <w:r>
        <w:rPr>
          <w:rFonts w:ascii="宋体" w:eastAsia="宋体" w:hAnsi="宋体" w:cs="宋体"/>
          <w:color w:val="000000"/>
          <w:sz w:val="27"/>
          <w:szCs w:val="27"/>
          <w:lang w:val="en-US" w:eastAsia="zh-CN" w:bidi="ar-SA"/>
        </w:rPr>
        <w:t>72700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二、被告周丽容对第一项</w:t>
      </w:r>
      <w:r>
        <w:rPr>
          <w:rFonts w:ascii="宋体" w:eastAsia="宋体" w:hAnsi="宋体" w:cs="宋体"/>
          <w:color w:val="000000"/>
          <w:sz w:val="27"/>
          <w:szCs w:val="27"/>
          <w:lang w:val="en-US" w:eastAsia="zh-CN" w:bidi="ar-SA"/>
        </w:rPr>
        <w:t>债务承担连带清偿责任。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8"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w:t>
      </w:r>
      <w:r>
        <w:rPr>
          <w:rFonts w:ascii="宋体" w:eastAsia="宋体" w:hAnsi="宋体" w:cs="宋体"/>
          <w:color w:val="000000"/>
          <w:sz w:val="27"/>
          <w:szCs w:val="27"/>
          <w:lang w:val="en-US" w:eastAsia="zh-CN" w:bidi="ar-SA"/>
        </w:rPr>
        <w:t>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5983</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2991.5</w:t>
      </w:r>
      <w:r>
        <w:rPr>
          <w:rFonts w:ascii="宋体" w:eastAsia="宋体" w:hAnsi="宋体" w:cs="宋体"/>
          <w:color w:val="000000"/>
          <w:sz w:val="27"/>
          <w:szCs w:val="27"/>
          <w:lang w:val="en-US" w:eastAsia="zh-CN" w:bidi="ar-SA"/>
        </w:rPr>
        <w:t>元，由两被告负担。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BAB9733" w14:textId="77777777" w:rsidR="00000000" w:rsidRDefault="007461CD">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判</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陈相隆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二〇一六年三月三十日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代书记员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沈茜丹</w:t>
      </w:r>
    </w:p>
    <w:p w14:paraId="10D460CA" w14:textId="77777777" w:rsidR="00000000" w:rsidRDefault="007461CD">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0"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2"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：借款人应当按照约定的期限返还借款。对借款期限没有约定或者约定不明确，依照本法第六十一条的规定仍不能确定的，借款人可以随时返还；贷款人可以催告</w:t>
      </w:r>
      <w:r>
        <w:rPr>
          <w:rFonts w:ascii="宋体" w:eastAsia="宋体" w:hAnsi="宋体" w:cs="宋体"/>
          <w:color w:val="000000"/>
          <w:sz w:val="27"/>
          <w:szCs w:val="27"/>
          <w:lang w:val="en-US" w:eastAsia="zh-CN" w:bidi="ar-SA"/>
        </w:rPr>
        <w:t>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最高人民法院关于适用《中华人民共和</w:t>
      </w:r>
      <w:hyperlink r:id="rId25"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若干问题的解释（二）第二十四条：债权人就婚姻关系存续期间夫妻一方以个人名义所负债务主张权利的，应当按夫妻共同债务处理。但夫妻一方能够证明债权人与债务人明确约定为个人债务，或者能够证明属于</w:t>
      </w:r>
      <w:hyperlink r:id="rId26"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27"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28"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w:t>
      </w:r>
      <w:r>
        <w:rPr>
          <w:rFonts w:ascii="宋体" w:eastAsia="宋体" w:hAnsi="宋体" w:cs="宋体"/>
          <w:color w:val="000000"/>
          <w:sz w:val="27"/>
          <w:szCs w:val="27"/>
          <w:lang w:val="en-US" w:eastAsia="zh-CN" w:bidi="ar-SA"/>
        </w:rPr>
        <w:t>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当事人一方拒绝履行的，对方当事人可以在履行期限届满后的二年内向第一审人民法院申请执行。逾期申请的，人民法院不予受理执行。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拒不履行人民法院已经发生</w:t>
      </w:r>
      <w:r>
        <w:rPr>
          <w:rFonts w:ascii="宋体" w:eastAsia="宋体" w:hAnsi="宋体" w:cs="宋体"/>
          <w:color w:val="000000"/>
          <w:sz w:val="27"/>
          <w:szCs w:val="27"/>
          <w:lang w:val="en-US" w:eastAsia="zh-CN" w:bidi="ar-SA"/>
        </w:rPr>
        <w:t>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3E91D004" w14:textId="77777777" w:rsidR="00000000" w:rsidRDefault="007461CD">
      <w:pPr>
        <w:ind w:left="375" w:right="375"/>
        <w:rPr>
          <w:rFonts w:ascii="Arial" w:eastAsia="Arial" w:hAnsi="Arial" w:cs="Arial"/>
          <w:lang w:val="en-US" w:eastAsia="zh-CN" w:bidi="ar-SA"/>
        </w:rPr>
      </w:pPr>
      <w:r>
        <w:rPr>
          <w:rFonts w:ascii="Arial" w:eastAsia="Arial" w:hAnsi="Arial" w:cs="Arial"/>
          <w:lang w:val="en-US" w:eastAsia="zh-CN" w:bidi="ar-SA"/>
        </w:rPr>
        <w:br/>
      </w:r>
    </w:p>
    <w:p w14:paraId="7AE610DA" w14:textId="77777777" w:rsidR="00000000" w:rsidRDefault="00A77B3E">
      <w:pPr>
        <w:spacing w:line="630" w:lineRule="atLeast"/>
        <w:rPr>
          <w:rFonts w:eastAsia="Times New Roman"/>
          <w:sz w:val="26"/>
          <w:szCs w:val="26"/>
          <w:lang w:val="en-US" w:eastAsia="zh-CN" w:bidi="ar-SA"/>
        </w:rPr>
      </w:pPr>
      <w:r>
        <w:br w:type="page"/>
      </w:r>
      <w:r w:rsidR="007461CD">
        <w:rPr>
          <w:rFonts w:eastAsia="Times New Roman"/>
          <w:sz w:val="26"/>
          <w:szCs w:val="26"/>
          <w:lang w:val="en-US" w:eastAsia="zh-CN" w:bidi="ar-SA"/>
        </w:rPr>
        <w:t>©北大法宝：（</w:t>
      </w:r>
      <w:hyperlink r:id="rId29" w:history="1">
        <w:r w:rsidR="007461CD">
          <w:rPr>
            <w:rFonts w:eastAsia="Times New Roman"/>
            <w:color w:val="218FC4"/>
            <w:sz w:val="26"/>
            <w:szCs w:val="26"/>
            <w:u w:val="single" w:color="218FC4"/>
            <w:lang w:val="en-US" w:eastAsia="zh-CN" w:bidi="ar-SA"/>
          </w:rPr>
          <w:t>www.pkulaw.com</w:t>
        </w:r>
      </w:hyperlink>
      <w:r w:rsidR="007461CD">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w:t>
      </w:r>
      <w:r w:rsidR="007461CD">
        <w:rPr>
          <w:rFonts w:eastAsia="Times New Roman"/>
          <w:sz w:val="26"/>
          <w:szCs w:val="26"/>
          <w:lang w:val="en-US" w:eastAsia="zh-CN" w:bidi="ar-SA"/>
        </w:rPr>
        <w:t>有</w:t>
      </w:r>
      <w:hyperlink r:id="rId30" w:tgtFrame="_blank" w:history="1">
        <w:r w:rsidR="007461CD">
          <w:rPr>
            <w:rFonts w:eastAsia="Times New Roman"/>
            <w:color w:val="218FC4"/>
            <w:sz w:val="26"/>
            <w:szCs w:val="26"/>
            <w:u w:val="single" w:color="218FC4"/>
            <w:lang w:val="en-US" w:eastAsia="zh-CN" w:bidi="ar-SA"/>
          </w:rPr>
          <w:t>产品和服务</w:t>
        </w:r>
      </w:hyperlink>
      <w:r w:rsidR="007461CD">
        <w:rPr>
          <w:rFonts w:eastAsia="Times New Roman"/>
          <w:sz w:val="26"/>
          <w:szCs w:val="26"/>
          <w:lang w:val="en-US" w:eastAsia="zh-CN" w:bidi="ar-SA"/>
        </w:rPr>
        <w:t>。</w:t>
      </w:r>
      <w:r w:rsidR="007461CD">
        <w:rPr>
          <w:rFonts w:eastAsia="Times New Roman"/>
          <w:sz w:val="26"/>
          <w:szCs w:val="26"/>
          <w:lang w:val="en-US" w:eastAsia="zh-CN" w:bidi="ar-SA"/>
        </w:rPr>
        <w:br/>
      </w:r>
      <w:hyperlink r:id="rId31" w:tgtFrame="_blank" w:history="1">
        <w:r w:rsidR="007461CD">
          <w:rPr>
            <w:rFonts w:eastAsia="Times New Roman"/>
            <w:color w:val="218FC4"/>
            <w:sz w:val="26"/>
            <w:szCs w:val="26"/>
            <w:u w:val="single" w:color="218FC4"/>
            <w:lang w:val="en-US" w:eastAsia="zh-CN" w:bidi="ar-SA"/>
          </w:rPr>
          <w:t>法宝快讯： 如何快速找到您需要的检索结果？ 法宝 V6 有何新特色？</w:t>
        </w:r>
      </w:hyperlink>
    </w:p>
    <w:p w14:paraId="67216E82" w14:textId="77777777" w:rsidR="00000000" w:rsidRDefault="007461CD">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2" o:title=""/>
          </v:shape>
        </w:pict>
      </w:r>
    </w:p>
    <w:p w14:paraId="0899600D" w14:textId="77777777" w:rsidR="00000000" w:rsidRDefault="007461CD">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F0678A2" w14:textId="77777777" w:rsidR="00000000" w:rsidRDefault="007461CD">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3" w:tgtFrame="_blank" w:history="1">
        <w:r>
          <w:rPr>
            <w:rFonts w:eastAsia="Times New Roman"/>
            <w:color w:val="000000"/>
            <w:sz w:val="26"/>
            <w:szCs w:val="26"/>
            <w:u w:val="single" w:color="000000"/>
            <w:lang w:val="en-US" w:eastAsia="zh-CN" w:bidi="ar-SA"/>
          </w:rPr>
          <w:t xml:space="preserve">https://www.pkulaw.com/pfnl/a25051f3312b07f32283021a27c4c032c1d17f3924bd941bbdfb.html </w:t>
        </w:r>
      </w:hyperlink>
    </w:p>
    <w:p w14:paraId="364EDB9C" w14:textId="77777777" w:rsidR="00A77B3E" w:rsidRDefault="00A77B3E"/>
    <w:sectPr w:rsidR="00A77B3E">
      <w:headerReference w:type="default" r:id="rId34"/>
      <w:footerReference w:type="default" r:id="rId35"/>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8EA4" w14:textId="77777777" w:rsidR="00000000" w:rsidRDefault="007461CD">
      <w:r>
        <w:separator/>
      </w:r>
    </w:p>
  </w:endnote>
  <w:endnote w:type="continuationSeparator" w:id="0">
    <w:p w14:paraId="6881793E" w14:textId="77777777" w:rsidR="00000000" w:rsidRDefault="0074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0F1EFBA" w14:textId="77777777">
      <w:trPr>
        <w:tblCellSpacing w:w="15" w:type="dxa"/>
      </w:trPr>
      <w:tc>
        <w:tcPr>
          <w:tcW w:w="1530" w:type="dxa"/>
          <w:tcMar>
            <w:top w:w="15" w:type="dxa"/>
            <w:left w:w="15" w:type="dxa"/>
            <w:bottom w:w="15" w:type="dxa"/>
            <w:right w:w="15" w:type="dxa"/>
          </w:tcMar>
          <w:vAlign w:val="center"/>
          <w:hideMark/>
        </w:tcPr>
        <w:p w14:paraId="52EE9EDC" w14:textId="77777777" w:rsidR="00000000" w:rsidRDefault="007461CD">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75131D8" w14:textId="77777777" w:rsidR="00000000" w:rsidRDefault="007461C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0C869E9F" w14:textId="77777777" w:rsidR="00000000" w:rsidRDefault="007461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BB3C9" w14:textId="77777777" w:rsidR="00000000" w:rsidRDefault="007461CD">
      <w:r>
        <w:separator/>
      </w:r>
    </w:p>
  </w:footnote>
  <w:footnote w:type="continuationSeparator" w:id="0">
    <w:p w14:paraId="5B148770" w14:textId="77777777" w:rsidR="00000000" w:rsidRDefault="00746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89D76C9" w14:textId="77777777">
      <w:trPr>
        <w:tblCellSpacing w:w="15" w:type="dxa"/>
      </w:trPr>
      <w:tc>
        <w:tcPr>
          <w:tcW w:w="0" w:type="auto"/>
          <w:tcMar>
            <w:top w:w="15" w:type="dxa"/>
            <w:left w:w="15" w:type="dxa"/>
            <w:bottom w:w="15" w:type="dxa"/>
            <w:right w:w="15" w:type="dxa"/>
          </w:tcMar>
          <w:vAlign w:val="center"/>
          <w:hideMark/>
        </w:tcPr>
        <w:p w14:paraId="2C09B671" w14:textId="77777777" w:rsidR="00000000" w:rsidRDefault="007461CD">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BA8DFC6" w14:textId="77777777" w:rsidR="00000000" w:rsidRDefault="007461CD">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CLI.C.23753818</w:t>
          </w:r>
        </w:p>
      </w:tc>
    </w:tr>
  </w:tbl>
  <w:p w14:paraId="7BE2DE46" w14:textId="77777777" w:rsidR="00000000" w:rsidRDefault="007461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461CD"/>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903E91"/>
  <w15:chartTrackingRefBased/>
  <w15:docId w15:val="{2E19A6AC-DDC3-4097-8078-DB20B9DAE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7461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461CD"/>
    <w:rPr>
      <w:sz w:val="18"/>
      <w:szCs w:val="18"/>
    </w:rPr>
  </w:style>
  <w:style w:type="paragraph" w:styleId="a5">
    <w:name w:val="footer"/>
    <w:basedOn w:val="a"/>
    <w:link w:val="a6"/>
    <w:rsid w:val="007461CD"/>
    <w:pPr>
      <w:tabs>
        <w:tab w:val="center" w:pos="4153"/>
        <w:tab w:val="right" w:pos="8306"/>
      </w:tabs>
      <w:snapToGrid w:val="0"/>
    </w:pPr>
    <w:rPr>
      <w:sz w:val="18"/>
      <w:szCs w:val="18"/>
    </w:rPr>
  </w:style>
  <w:style w:type="character" w:customStyle="1" w:styleId="a6">
    <w:name w:val="页脚 字符"/>
    <w:basedOn w:val="a0"/>
    <w:link w:val="a5"/>
    <w:rsid w:val="007461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s://www.pkulaw.com/chl/1bad5c748927dd10bdfb.html?way=textSlc" TargetMode="External"/><Relationship Id="rId21" Type="http://schemas.openxmlformats.org/officeDocument/2006/relationships/hyperlink" Target="https://www.pkulaw.com/chl/2367b1767194112cbdfb.html?way=textSlc" TargetMode="External"/><Relationship Id="rId34" Type="http://schemas.openxmlformats.org/officeDocument/2006/relationships/header" Target="header1.xml"/><Relationship Id="rId7" Type="http://schemas.openxmlformats.org/officeDocument/2006/relationships/hyperlink" Target="javascript:LawFirmSearch('&#27993;&#27743;&#27901;&#21830;&#65288;&#27934;&#22836;&#65289;&#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s://www.pkulaw.com/chl/1bad5c748927dd10bdfb.html?way=textSlc" TargetMode="External"/><Relationship Id="rId33" Type="http://schemas.openxmlformats.org/officeDocument/2006/relationships/hyperlink" Target="https://www.pkulaw.com/pfnl/a25051f3312b07f32283021a27c4c032c1d17f3924bd941bbdfb.html" TargetMode="External"/><Relationship Id="rId2" Type="http://schemas.openxmlformats.org/officeDocument/2006/relationships/styles" Target="styles.xml"/><Relationship Id="rId16" Type="http://schemas.openxmlformats.org/officeDocument/2006/relationships/hyperlink" Target="https://www.pkulaw.com/chl/7584ab701c2393f6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2367b1767194112cbdfb.html?way=textSlc"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7584ab701c2393f6bdfb.html?way=textSlc" TargetMode="External"/><Relationship Id="rId23" Type="http://schemas.openxmlformats.org/officeDocument/2006/relationships/hyperlink" Target="https://www.pkulaw.com/chl/2367b1767194112cbdfb.html?way=textSlc" TargetMode="External"/><Relationship Id="rId28" Type="http://schemas.openxmlformats.org/officeDocument/2006/relationships/hyperlink" Target="https://www.pkulaw.com/chl/1bad5c748927dd10bdfb.html?way=textSlc" TargetMode="External"/><Relationship Id="rId36" Type="http://schemas.openxmlformats.org/officeDocument/2006/relationships/fontTable" Target="fontTable.xml"/><Relationship Id="rId10" Type="http://schemas.openxmlformats.org/officeDocument/2006/relationships/hyperlink" Target="https://www.pkulaw.com/chl/79ff97dc088f165cbdfb.html?way=textSlc" TargetMode="External"/><Relationship Id="rId19" Type="http://schemas.openxmlformats.org/officeDocument/2006/relationships/hyperlink" Target="https://www.pkulaw.com/chl/2367b1767194112cbdfb.html?way=textSlc" TargetMode="External"/><Relationship Id="rId31"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79ff97dc088f165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2367b1767194112cbdfb.html?way=textSlc" TargetMode="External"/><Relationship Id="rId27" Type="http://schemas.openxmlformats.org/officeDocument/2006/relationships/hyperlink" Target="https://www.pkulaw.com/chl/1bad5c748927dd10bdfb.html?way=textSlc" TargetMode="External"/><Relationship Id="rId30" Type="http://schemas.openxmlformats.org/officeDocument/2006/relationships/hyperlink" Target="http://www.pkulaw.net/" TargetMode="External"/><Relationship Id="rId35" Type="http://schemas.openxmlformats.org/officeDocument/2006/relationships/footer" Target="footer1.xml"/><Relationship Id="rId8" Type="http://schemas.openxmlformats.org/officeDocument/2006/relationships/hyperlink" Target="javascript:LawFirmSearch('&#27993;&#27743;&#27901;&#21830;&#65288;&#27934;&#22836;&#65289;&#24459;&#24072;&#20107;&#21153;&#25152;')"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