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184B" w14:textId="77777777" w:rsidR="00000000" w:rsidRDefault="00256020">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王洋阳、彭华民间借贷纠纷一审民事判决书</w:t>
      </w:r>
    </w:p>
    <w:p w14:paraId="3C0FC711" w14:textId="77777777" w:rsidR="00000000" w:rsidRDefault="00256020">
      <w:pPr>
        <w:ind w:left="375" w:right="375"/>
        <w:rPr>
          <w:rFonts w:ascii="Arial" w:eastAsia="Arial" w:hAnsi="Arial" w:cs="Arial"/>
          <w:lang w:val="en-US" w:eastAsia="zh-CN" w:bidi="ar-SA"/>
        </w:rPr>
      </w:pPr>
      <w:r>
        <w:rPr>
          <w:rFonts w:ascii="Arial" w:eastAsia="Arial" w:hAnsi="Arial" w:cs="Arial"/>
          <w:lang w:val="en-US" w:eastAsia="zh-CN" w:bidi="ar-SA"/>
        </w:rPr>
        <w:br/>
      </w:r>
    </w:p>
    <w:p w14:paraId="4454BE81" w14:textId="77777777" w:rsidR="00000000" w:rsidRDefault="00256020">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王洋阳、彭华民间借贷纠纷一审民事判决书</w:t>
      </w:r>
    </w:p>
    <w:p w14:paraId="021D20DA" w14:textId="77777777" w:rsidR="00000000" w:rsidRDefault="00256020">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281F156" w14:textId="77777777" w:rsidR="00000000" w:rsidRDefault="00256020">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1095</w:t>
      </w:r>
      <w:r>
        <w:rPr>
          <w:rStyle w:val="span"/>
          <w:rFonts w:ascii="宋体" w:eastAsia="宋体" w:hAnsi="宋体" w:cs="宋体"/>
          <w:color w:val="000000"/>
          <w:sz w:val="27"/>
          <w:szCs w:val="27"/>
          <w:lang w:val="en-US" w:eastAsia="zh-CN" w:bidi="ar-SA"/>
        </w:rPr>
        <w:t>号</w:t>
      </w:r>
    </w:p>
    <w:p w14:paraId="3E14352E" w14:textId="77777777" w:rsidR="00000000" w:rsidRDefault="00256020">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原告：王洋阳。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被告：彭华。</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原告王洋阳与被告彭华民间借贷纠纷一案，原告于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日向法院提起诉讼，请求法院判令：被告彭华立即偿还原告王洋阳借款</w:t>
      </w:r>
      <w:r>
        <w:rPr>
          <w:rFonts w:ascii="宋体" w:eastAsia="宋体" w:hAnsi="宋体" w:cs="宋体"/>
          <w:color w:val="000000"/>
          <w:sz w:val="27"/>
          <w:szCs w:val="27"/>
          <w:lang w:val="en-US" w:eastAsia="zh-CN" w:bidi="ar-SA"/>
        </w:rPr>
        <w:t>12000</w:t>
      </w:r>
      <w:r>
        <w:rPr>
          <w:rFonts w:ascii="宋体" w:eastAsia="宋体" w:hAnsi="宋体" w:cs="宋体"/>
          <w:color w:val="000000"/>
          <w:sz w:val="27"/>
          <w:szCs w:val="27"/>
          <w:lang w:val="en-US" w:eastAsia="zh-CN" w:bidi="ar-SA"/>
        </w:rPr>
        <w:t>元。本院受理后，依法适用普通程序，于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日公开开庭进行审理，并当庭予以宣告判决。原告王洋阳到庭参加诉讼，被告彭华经本院合法传唤无正当理由拒不到庭</w:t>
      </w:r>
      <w:r>
        <w:rPr>
          <w:rFonts w:ascii="宋体" w:eastAsia="宋体" w:hAnsi="宋体" w:cs="宋体"/>
          <w:color w:val="000000"/>
          <w:sz w:val="27"/>
          <w:szCs w:val="27"/>
          <w:lang w:val="en-US" w:eastAsia="zh-CN" w:bidi="ar-SA"/>
        </w:rPr>
        <w:t>。本案现已审理终结。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2" w:name="anchor-3"/>
      <w:bookmarkEnd w:id="2"/>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日，被告彭华向原告王洋阳借款，</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月，经双方结算确认，被告尚欠原告借款</w:t>
      </w:r>
      <w:r>
        <w:rPr>
          <w:rFonts w:ascii="宋体" w:eastAsia="宋体" w:hAnsi="宋体" w:cs="宋体"/>
          <w:color w:val="000000"/>
          <w:sz w:val="27"/>
          <w:szCs w:val="27"/>
          <w:lang w:val="en-US" w:eastAsia="zh-CN" w:bidi="ar-SA"/>
        </w:rPr>
        <w:t>12000</w:t>
      </w:r>
      <w:r>
        <w:rPr>
          <w:rFonts w:ascii="宋体" w:eastAsia="宋体" w:hAnsi="宋体" w:cs="宋体"/>
          <w:color w:val="000000"/>
          <w:sz w:val="27"/>
          <w:szCs w:val="27"/>
          <w:lang w:val="en-US" w:eastAsia="zh-CN" w:bidi="ar-SA"/>
        </w:rPr>
        <w:t>元，被告向原告出具借条一份，约定于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日前偿还。借款到期后，被告至今未偿还上述借款。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9"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、第</w:t>
      </w:r>
      <w:hyperlink r:id="rId10"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的规定，判决如下：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3" w:name="anchor-2"/>
      <w:bookmarkEnd w:id="3"/>
      <w:r>
        <w:rPr>
          <w:rFonts w:ascii="宋体" w:eastAsia="宋体" w:hAnsi="宋体" w:cs="宋体"/>
          <w:color w:val="000000"/>
          <w:sz w:val="27"/>
          <w:szCs w:val="27"/>
          <w:lang w:val="en-US" w:eastAsia="zh-CN" w:bidi="ar-SA"/>
        </w:rPr>
        <w:t xml:space="preserve">　　被告彭华应于本判决生效之日起</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日内偿还原告王洋阳借款</w:t>
      </w:r>
      <w:r>
        <w:rPr>
          <w:rFonts w:ascii="宋体" w:eastAsia="宋体" w:hAnsi="宋体" w:cs="宋体"/>
          <w:color w:val="000000"/>
          <w:sz w:val="27"/>
          <w:szCs w:val="27"/>
          <w:lang w:val="en-US" w:eastAsia="zh-CN" w:bidi="ar-SA"/>
        </w:rPr>
        <w:t>12000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3" w:history="1">
        <w:r>
          <w:rPr>
            <w:rStyle w:val="fulltext-wrapfulltexta"/>
            <w:rFonts w:ascii="宋体" w:eastAsia="宋体" w:hAnsi="宋体" w:cs="宋体"/>
            <w:sz w:val="27"/>
            <w:szCs w:val="27"/>
            <w:lang w:val="en-US" w:eastAsia="zh-CN" w:bidi="ar-SA"/>
          </w:rPr>
          <w:t>中华人民共和国</w:t>
        </w:r>
        <w:r>
          <w:rPr>
            <w:rStyle w:val="fulltext-wrapfulltexta"/>
            <w:rFonts w:ascii="宋体" w:eastAsia="宋体" w:hAnsi="宋体" w:cs="宋体"/>
            <w:sz w:val="27"/>
            <w:szCs w:val="27"/>
            <w:lang w:val="en-US" w:eastAsia="zh-CN" w:bidi="ar-SA"/>
          </w:rPr>
          <w:lastRenderedPageBreak/>
          <w:t>民事诉讼法</w:t>
        </w:r>
      </w:hyperlink>
      <w:r>
        <w:rPr>
          <w:rFonts w:ascii="宋体" w:eastAsia="宋体" w:hAnsi="宋体" w:cs="宋体"/>
          <w:color w:val="000000"/>
          <w:sz w:val="27"/>
          <w:szCs w:val="27"/>
          <w:lang w:val="en-US" w:eastAsia="zh-CN" w:bidi="ar-SA"/>
        </w:rPr>
        <w:t>》第</w:t>
      </w:r>
      <w:hyperlink r:id="rId1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的规定，加倍支付迟延</w:t>
      </w:r>
      <w:r>
        <w:rPr>
          <w:rFonts w:ascii="宋体" w:eastAsia="宋体" w:hAnsi="宋体" w:cs="宋体"/>
          <w:color w:val="000000"/>
          <w:sz w:val="27"/>
          <w:szCs w:val="27"/>
          <w:lang w:val="en-US" w:eastAsia="zh-CN" w:bidi="ar-SA"/>
        </w:rPr>
        <w:t>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650</w:t>
      </w:r>
      <w:r>
        <w:rPr>
          <w:rFonts w:ascii="宋体" w:eastAsia="宋体" w:hAnsi="宋体" w:cs="宋体"/>
          <w:color w:val="000000"/>
          <w:sz w:val="27"/>
          <w:szCs w:val="27"/>
          <w:lang w:val="en-US" w:eastAsia="zh-CN" w:bidi="ar-SA"/>
        </w:rPr>
        <w:t>元（已由原告垫付），合计</w:t>
      </w:r>
      <w:r>
        <w:rPr>
          <w:rFonts w:ascii="宋体" w:eastAsia="宋体" w:hAnsi="宋体" w:cs="宋体"/>
          <w:color w:val="000000"/>
          <w:sz w:val="27"/>
          <w:szCs w:val="27"/>
          <w:lang w:val="en-US" w:eastAsia="zh-CN" w:bidi="ar-SA"/>
        </w:rPr>
        <w:t>750</w:t>
      </w:r>
      <w:r>
        <w:rPr>
          <w:rFonts w:ascii="宋体" w:eastAsia="宋体" w:hAnsi="宋体" w:cs="宋体"/>
          <w:color w:val="000000"/>
          <w:sz w:val="27"/>
          <w:szCs w:val="27"/>
          <w:lang w:val="en-US" w:eastAsia="zh-CN" w:bidi="ar-SA"/>
        </w:rPr>
        <w:t>元，由被告彭华负担。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4" w:name="anchor-4"/>
      <w:bookmarkEnd w:id="4"/>
    </w:p>
    <w:p w14:paraId="2848F463" w14:textId="77777777" w:rsidR="00000000" w:rsidRDefault="00256020">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黄智敏</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马忠兰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吴胜海</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二〇一九年五月十日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　记员　林兵侠</w:t>
      </w:r>
    </w:p>
    <w:p w14:paraId="11D4492B" w14:textId="77777777" w:rsidR="00000000" w:rsidRDefault="00256020">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5" w:name="anchor-5"/>
      <w:bookmarkEnd w:id="5"/>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第二百一十条自然人之间的借款合同，自贷款人提供借款时生效。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w:t>
      </w:r>
      <w:r>
        <w:rPr>
          <w:rFonts w:ascii="宋体" w:eastAsia="宋体" w:hAnsi="宋体" w:cs="宋体"/>
          <w:color w:val="000000"/>
          <w:sz w:val="27"/>
          <w:szCs w:val="27"/>
          <w:lang w:val="en-US" w:eastAsia="zh-CN" w:bidi="ar-SA"/>
        </w:rPr>
        <w:t>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义务人未按期履行生效法律文书确定内容的，权利人应在法律文书生效之日起或法律文书确定的履行期限届满之日起两年内向法院申请执行。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w:t>
      </w:r>
      <w:r>
        <w:rPr>
          <w:rFonts w:ascii="宋体" w:eastAsia="宋体" w:hAnsi="宋体" w:cs="宋体"/>
          <w:color w:val="000000"/>
          <w:sz w:val="27"/>
          <w:szCs w:val="27"/>
          <w:lang w:val="en-US" w:eastAsia="zh-CN" w:bidi="ar-SA"/>
        </w:rPr>
        <w:t>人应知悉并理解此类执行不能的风险。</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执行期间人民法院有权对义务人的财产采取查封、扣押、冻结、搜查、拍卖、变卖等强制性措施；法院将依情节轻重限制义务人的高消费、纳入失信名单，向社会公布并通报征信机构，依法予以信用惩戒。</w:t>
      </w:r>
      <w:r>
        <w:rPr>
          <w:rFonts w:ascii="宋体" w:eastAsia="宋体" w:hAnsi="宋体" w:cs="宋体"/>
          <w:color w:val="000000"/>
          <w:sz w:val="27"/>
          <w:szCs w:val="27"/>
          <w:lang w:val="en-US" w:eastAsia="zh-CN" w:bidi="ar-SA"/>
        </w:rPr>
        <w:br/>
        <w:t>7.</w:t>
      </w:r>
      <w:r>
        <w:rPr>
          <w:rFonts w:ascii="宋体" w:eastAsia="宋体" w:hAnsi="宋体" w:cs="宋体"/>
          <w:color w:val="000000"/>
          <w:sz w:val="27"/>
          <w:szCs w:val="27"/>
          <w:lang w:val="en-US" w:eastAsia="zh-CN" w:bidi="ar-SA"/>
        </w:rPr>
        <w:t>人民法院对义务人拒不履行生效法律文书内容或逾期不申报、虚假申报财产的，可以采取罚款、拘留等措施，构成犯罪的，依法追究刑事责任。</w:t>
      </w:r>
      <w:r>
        <w:rPr>
          <w:rFonts w:ascii="宋体" w:eastAsia="宋体" w:hAnsi="宋体" w:cs="宋体"/>
          <w:color w:val="000000"/>
          <w:sz w:val="27"/>
          <w:szCs w:val="27"/>
          <w:lang w:val="en-US" w:eastAsia="zh-CN" w:bidi="ar-SA"/>
        </w:rPr>
        <w:t xml:space="preserve"> </w:t>
      </w:r>
    </w:p>
    <w:p w14:paraId="1807A9E0" w14:textId="77777777" w:rsidR="00000000" w:rsidRDefault="00256020">
      <w:pPr>
        <w:ind w:left="375" w:right="375"/>
        <w:rPr>
          <w:rFonts w:ascii="Arial" w:eastAsia="Arial" w:hAnsi="Arial" w:cs="Arial"/>
          <w:lang w:val="en-US" w:eastAsia="zh-CN" w:bidi="ar-SA"/>
        </w:rPr>
      </w:pPr>
      <w:r>
        <w:rPr>
          <w:rFonts w:ascii="Arial" w:eastAsia="Arial" w:hAnsi="Arial" w:cs="Arial"/>
          <w:lang w:val="en-US" w:eastAsia="zh-CN" w:bidi="ar-SA"/>
        </w:rPr>
        <w:br/>
      </w:r>
    </w:p>
    <w:p w14:paraId="790CB324" w14:textId="77777777" w:rsidR="00000000" w:rsidRDefault="00A77B3E">
      <w:pPr>
        <w:spacing w:line="630" w:lineRule="atLeast"/>
        <w:rPr>
          <w:rFonts w:eastAsia="Times New Roman"/>
          <w:sz w:val="26"/>
          <w:szCs w:val="26"/>
          <w:lang w:val="en-US" w:eastAsia="zh-CN" w:bidi="ar-SA"/>
        </w:rPr>
      </w:pPr>
      <w:r>
        <w:br w:type="page"/>
      </w:r>
      <w:r w:rsidR="00256020">
        <w:rPr>
          <w:rFonts w:eastAsia="Times New Roman"/>
          <w:sz w:val="26"/>
          <w:szCs w:val="26"/>
          <w:lang w:val="en-US" w:eastAsia="zh-CN" w:bidi="ar-SA"/>
        </w:rPr>
        <w:t>©北大法宝：（</w:t>
      </w:r>
      <w:hyperlink r:id="rId17" w:history="1">
        <w:r w:rsidR="00256020">
          <w:rPr>
            <w:rFonts w:eastAsia="Times New Roman"/>
            <w:color w:val="218FC4"/>
            <w:sz w:val="26"/>
            <w:szCs w:val="26"/>
            <w:u w:val="single" w:color="218FC4"/>
            <w:lang w:val="en-US" w:eastAsia="zh-CN" w:bidi="ar-SA"/>
          </w:rPr>
          <w:t>www.pkulaw.com</w:t>
        </w:r>
      </w:hyperlink>
      <w:r w:rsidR="00256020">
        <w:rPr>
          <w:rFonts w:eastAsia="Times New Roman"/>
          <w:sz w:val="26"/>
          <w:szCs w:val="26"/>
          <w:lang w:val="en-US" w:eastAsia="zh-CN" w:bidi="ar-SA"/>
        </w:rPr>
        <w:t>）专业提供法律信息、法学知识</w:t>
      </w:r>
      <w:r w:rsidR="00256020">
        <w:rPr>
          <w:rFonts w:eastAsia="Times New Roman"/>
          <w:sz w:val="26"/>
          <w:szCs w:val="26"/>
          <w:lang w:val="en-US" w:eastAsia="zh-CN" w:bidi="ar-SA"/>
        </w:rPr>
        <w:t>和法律软件领域各类解决方案。北大法宝为您提供丰富的参考资料，正式引用法规条文时请与标准文本核对。 欢迎查看所有</w:t>
      </w:r>
      <w:hyperlink r:id="rId18" w:tgtFrame="_blank" w:history="1">
        <w:r w:rsidR="00256020">
          <w:rPr>
            <w:rFonts w:eastAsia="Times New Roman"/>
            <w:color w:val="218FC4"/>
            <w:sz w:val="26"/>
            <w:szCs w:val="26"/>
            <w:u w:val="single" w:color="218FC4"/>
            <w:lang w:val="en-US" w:eastAsia="zh-CN" w:bidi="ar-SA"/>
          </w:rPr>
          <w:t>产品和服务</w:t>
        </w:r>
      </w:hyperlink>
      <w:r w:rsidR="00256020">
        <w:rPr>
          <w:rFonts w:eastAsia="Times New Roman"/>
          <w:sz w:val="26"/>
          <w:szCs w:val="26"/>
          <w:lang w:val="en-US" w:eastAsia="zh-CN" w:bidi="ar-SA"/>
        </w:rPr>
        <w:t>。</w:t>
      </w:r>
      <w:r w:rsidR="00256020">
        <w:rPr>
          <w:rFonts w:eastAsia="Times New Roman"/>
          <w:sz w:val="26"/>
          <w:szCs w:val="26"/>
          <w:lang w:val="en-US" w:eastAsia="zh-CN" w:bidi="ar-SA"/>
        </w:rPr>
        <w:br/>
      </w:r>
      <w:hyperlink r:id="rId19" w:tgtFrame="_blank" w:history="1">
        <w:r w:rsidR="00256020">
          <w:rPr>
            <w:rFonts w:eastAsia="Times New Roman"/>
            <w:color w:val="218FC4"/>
            <w:sz w:val="26"/>
            <w:szCs w:val="26"/>
            <w:u w:val="single" w:color="218FC4"/>
            <w:lang w:val="en-US" w:eastAsia="zh-CN" w:bidi="ar-SA"/>
          </w:rPr>
          <w:t>法宝快讯： 如何快速找到您需要的检索结果？ 法宝 V6 有何新特色？</w:t>
        </w:r>
      </w:hyperlink>
    </w:p>
    <w:p w14:paraId="774151D4" w14:textId="77777777" w:rsidR="00000000" w:rsidRDefault="00256020">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0" o:title=""/>
          </v:shape>
        </w:pict>
      </w:r>
    </w:p>
    <w:p w14:paraId="1FED25A2" w14:textId="77777777" w:rsidR="00000000" w:rsidRDefault="00256020">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7C975D1" w14:textId="77777777" w:rsidR="00000000" w:rsidRDefault="00256020">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1" w:tgtFrame="_blank" w:history="1">
        <w:r>
          <w:rPr>
            <w:rFonts w:eastAsia="Times New Roman"/>
            <w:color w:val="000000"/>
            <w:sz w:val="26"/>
            <w:szCs w:val="26"/>
            <w:u w:val="single" w:color="000000"/>
            <w:lang w:val="en-US" w:eastAsia="zh-CN" w:bidi="ar-SA"/>
          </w:rPr>
          <w:t xml:space="preserve">https://www.pkulaw.com/pfnl/a6bdb3332ec0adc44d3498b2eb23018e0c51d038d9fc2fc7bdfb.html </w:t>
        </w:r>
      </w:hyperlink>
    </w:p>
    <w:p w14:paraId="36B9B515" w14:textId="77777777" w:rsidR="00A77B3E" w:rsidRDefault="00A77B3E"/>
    <w:sectPr w:rsidR="00A77B3E">
      <w:headerReference w:type="default" r:id="rId22"/>
      <w:footerReference w:type="default" r:id="rId2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2B904" w14:textId="77777777" w:rsidR="00000000" w:rsidRDefault="00256020">
      <w:r>
        <w:separator/>
      </w:r>
    </w:p>
  </w:endnote>
  <w:endnote w:type="continuationSeparator" w:id="0">
    <w:p w14:paraId="66DA8A31" w14:textId="77777777" w:rsidR="00000000" w:rsidRDefault="00256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43E9BAA" w14:textId="77777777">
      <w:trPr>
        <w:tblCellSpacing w:w="15" w:type="dxa"/>
      </w:trPr>
      <w:tc>
        <w:tcPr>
          <w:tcW w:w="1530" w:type="dxa"/>
          <w:tcMar>
            <w:top w:w="15" w:type="dxa"/>
            <w:left w:w="15" w:type="dxa"/>
            <w:bottom w:w="15" w:type="dxa"/>
            <w:right w:w="15" w:type="dxa"/>
          </w:tcMar>
          <w:vAlign w:val="center"/>
          <w:hideMark/>
        </w:tcPr>
        <w:p w14:paraId="7338C790" w14:textId="77777777" w:rsidR="00000000" w:rsidRDefault="00256020">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644CE01D" w14:textId="77777777" w:rsidR="00000000" w:rsidRDefault="0025602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20E6AE83" w14:textId="77777777" w:rsidR="00000000" w:rsidRDefault="002560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4BE86" w14:textId="77777777" w:rsidR="00000000" w:rsidRDefault="00256020">
      <w:r>
        <w:separator/>
      </w:r>
    </w:p>
  </w:footnote>
  <w:footnote w:type="continuationSeparator" w:id="0">
    <w:p w14:paraId="7A6981EF" w14:textId="77777777" w:rsidR="00000000" w:rsidRDefault="00256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651735B6" w14:textId="77777777">
      <w:trPr>
        <w:tblCellSpacing w:w="15" w:type="dxa"/>
      </w:trPr>
      <w:tc>
        <w:tcPr>
          <w:tcW w:w="0" w:type="auto"/>
          <w:tcMar>
            <w:top w:w="15" w:type="dxa"/>
            <w:left w:w="15" w:type="dxa"/>
            <w:bottom w:w="15" w:type="dxa"/>
            <w:right w:w="15" w:type="dxa"/>
          </w:tcMar>
          <w:vAlign w:val="center"/>
          <w:hideMark/>
        </w:tcPr>
        <w:p w14:paraId="00A9A736" w14:textId="77777777" w:rsidR="00000000" w:rsidRDefault="00256020">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7806E61" w14:textId="77777777" w:rsidR="00000000" w:rsidRDefault="0025602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CLI.C.89388088</w:t>
          </w:r>
        </w:p>
      </w:tc>
    </w:tr>
  </w:tbl>
  <w:p w14:paraId="46746E7B" w14:textId="77777777" w:rsidR="00000000" w:rsidRDefault="002560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56020"/>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2900AF"/>
  <w15:chartTrackingRefBased/>
  <w15:docId w15:val="{DE3AFF87-7024-4D14-9DE1-CCEA1C2B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2560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56020"/>
    <w:rPr>
      <w:sz w:val="18"/>
      <w:szCs w:val="18"/>
    </w:rPr>
  </w:style>
  <w:style w:type="paragraph" w:styleId="a5">
    <w:name w:val="footer"/>
    <w:basedOn w:val="a"/>
    <w:link w:val="a6"/>
    <w:rsid w:val="00256020"/>
    <w:pPr>
      <w:tabs>
        <w:tab w:val="center" w:pos="4153"/>
        <w:tab w:val="right" w:pos="8306"/>
      </w:tabs>
      <w:snapToGrid w:val="0"/>
    </w:pPr>
    <w:rPr>
      <w:sz w:val="18"/>
      <w:szCs w:val="18"/>
    </w:rPr>
  </w:style>
  <w:style w:type="character" w:customStyle="1" w:styleId="a6">
    <w:name w:val="页脚 字符"/>
    <w:basedOn w:val="a0"/>
    <w:link w:val="a5"/>
    <w:rsid w:val="002560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33df017c784876fbdfb.html?way=textSlc" TargetMode="External"/><Relationship Id="rId18"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pfnl/a6bdb3332ec0adc44d3498b2eb23018e0c51d038d9fc2fc7bdfb.html"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d33df017c784876fbdfb.html?way=textSlc" TargetMode="External"/><Relationship Id="rId17" Type="http://schemas.openxmlformats.org/officeDocument/2006/relationships/hyperlink" Target="https://www.pkula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33df017c784876fbdfb.html?way=textSl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