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56CE" w14:textId="77777777" w:rsidR="00000000" w:rsidRDefault="000323AC">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2018</w:t>
      </w:r>
      <w:r>
        <w:rPr>
          <w:rFonts w:ascii="Arial" w:eastAsia="Arial" w:hAnsi="Arial" w:cs="Arial"/>
          <w:b/>
          <w:bCs/>
          <w:lang w:val="en-US" w:eastAsia="zh-CN" w:bidi="ar-SA"/>
        </w:rPr>
        <w:t>浙</w:t>
      </w:r>
      <w:r>
        <w:rPr>
          <w:rFonts w:ascii="Arial" w:eastAsia="Arial" w:hAnsi="Arial" w:cs="Arial"/>
          <w:b/>
          <w:bCs/>
          <w:lang w:val="en-US" w:eastAsia="zh-CN" w:bidi="ar-SA"/>
        </w:rPr>
        <w:t>0304</w:t>
      </w:r>
      <w:r>
        <w:rPr>
          <w:rFonts w:ascii="Arial" w:eastAsia="Arial" w:hAnsi="Arial" w:cs="Arial"/>
          <w:b/>
          <w:bCs/>
          <w:lang w:val="en-US" w:eastAsia="zh-CN" w:bidi="ar-SA"/>
        </w:rPr>
        <w:t>民初</w:t>
      </w:r>
      <w:r>
        <w:rPr>
          <w:rFonts w:ascii="Arial" w:eastAsia="Arial" w:hAnsi="Arial" w:cs="Arial"/>
          <w:b/>
          <w:bCs/>
          <w:lang w:val="en-US" w:eastAsia="zh-CN" w:bidi="ar-SA"/>
        </w:rPr>
        <w:t>1929</w:t>
      </w:r>
      <w:r>
        <w:rPr>
          <w:rFonts w:ascii="Arial" w:eastAsia="Arial" w:hAnsi="Arial" w:cs="Arial"/>
          <w:b/>
          <w:bCs/>
          <w:lang w:val="en-US" w:eastAsia="zh-CN" w:bidi="ar-SA"/>
        </w:rPr>
        <w:t>号林建飞民间借贷纠纷民事判决书</w:t>
      </w:r>
    </w:p>
    <w:p w14:paraId="6E9FE8A9" w14:textId="77777777" w:rsidR="00000000" w:rsidRDefault="000323AC">
      <w:pPr>
        <w:ind w:left="375" w:right="375"/>
        <w:rPr>
          <w:rFonts w:ascii="Arial" w:eastAsia="Arial" w:hAnsi="Arial" w:cs="Arial"/>
          <w:lang w:val="en-US" w:eastAsia="zh-CN" w:bidi="ar-SA"/>
        </w:rPr>
      </w:pPr>
      <w:r>
        <w:rPr>
          <w:rFonts w:ascii="Arial" w:eastAsia="Arial" w:hAnsi="Arial" w:cs="Arial"/>
          <w:lang w:val="en-US" w:eastAsia="zh-CN" w:bidi="ar-SA"/>
        </w:rPr>
        <w:br/>
      </w:r>
    </w:p>
    <w:p w14:paraId="07AD94B5" w14:textId="77777777" w:rsidR="00000000" w:rsidRDefault="000323AC">
      <w:pPr>
        <w:pStyle w:val="p"/>
        <w:spacing w:line="600" w:lineRule="atLeast"/>
        <w:ind w:left="375" w:right="375"/>
        <w:jc w:val="center"/>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1929</w:t>
      </w:r>
      <w:r>
        <w:rPr>
          <w:rStyle w:val="span"/>
          <w:rFonts w:ascii="宋体" w:eastAsia="宋体" w:hAnsi="宋体" w:cs="宋体"/>
          <w:color w:val="000000"/>
          <w:sz w:val="27"/>
          <w:szCs w:val="27"/>
          <w:lang w:val="en-US" w:eastAsia="zh-CN" w:bidi="ar-SA"/>
        </w:rPr>
        <w:t>号</w:t>
      </w:r>
      <w:r>
        <w:rPr>
          <w:rFonts w:ascii="宋体" w:eastAsia="宋体" w:hAnsi="宋体" w:cs="宋体"/>
          <w:color w:val="000000"/>
          <w:sz w:val="27"/>
          <w:szCs w:val="27"/>
          <w:lang w:val="en-US" w:eastAsia="zh-CN" w:bidi="ar-SA"/>
        </w:rPr>
        <w:t>林建飞民间借贷纠纷民事判决书</w:t>
      </w:r>
    </w:p>
    <w:p w14:paraId="292E9A3A" w14:textId="77777777" w:rsidR="00000000" w:rsidRDefault="000323AC">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7BDF7EEE" w14:textId="77777777" w:rsidR="00000000" w:rsidRDefault="000323AC">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1929</w:t>
      </w:r>
      <w:r>
        <w:rPr>
          <w:rStyle w:val="span"/>
          <w:rFonts w:ascii="宋体" w:eastAsia="宋体" w:hAnsi="宋体" w:cs="宋体"/>
          <w:color w:val="000000"/>
          <w:sz w:val="27"/>
          <w:szCs w:val="27"/>
          <w:lang w:val="en-US" w:eastAsia="zh-CN" w:bidi="ar-SA"/>
        </w:rPr>
        <w:t>号</w:t>
      </w:r>
    </w:p>
    <w:p w14:paraId="481564D3" w14:textId="77777777" w:rsidR="00000000" w:rsidRDefault="000323AC">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原告：林建飞。</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被告：林众敏。</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原告林建飞与被告林众敏民间借贷纠纷一案，于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日向法院提起诉讼，诉请：被告林众敏立即支付原告借款</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元并赔偿利息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利息从起诉之日起按月利率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计算至实际履行之日止</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。本院受理后，依法适用普通程序，于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日公开开庭进行了审理</w:t>
      </w:r>
      <w:r>
        <w:rPr>
          <w:rFonts w:ascii="宋体" w:eastAsia="宋体" w:hAnsi="宋体" w:cs="宋体"/>
          <w:color w:val="000000"/>
          <w:sz w:val="27"/>
          <w:szCs w:val="27"/>
          <w:lang w:val="en-US" w:eastAsia="zh-CN" w:bidi="ar-SA"/>
        </w:rPr>
        <w:t>，并当庭宣告判决。原告林建飞到庭参加诉讼；被告林众敏经本院合法传唤无正当理由拒不到庭。</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1" w:name="anchor-2"/>
      <w:bookmarkEnd w:id="1"/>
      <w:r>
        <w:rPr>
          <w:rFonts w:ascii="宋体" w:eastAsia="宋体" w:hAnsi="宋体" w:cs="宋体"/>
          <w:color w:val="000000"/>
          <w:sz w:val="27"/>
          <w:szCs w:val="27"/>
          <w:lang w:val="en-US" w:eastAsia="zh-CN" w:bidi="ar-SA"/>
        </w:rPr>
        <w:t xml:space="preserve">　　本院经审理认定：</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日，被告林众敏向原告林建飞借款</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元，并出具了借据。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0"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2"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2" w:name="anchor-1"/>
      <w:bookmarkEnd w:id="2"/>
      <w:r>
        <w:rPr>
          <w:rFonts w:ascii="宋体" w:eastAsia="宋体" w:hAnsi="宋体" w:cs="宋体"/>
          <w:color w:val="000000"/>
          <w:sz w:val="27"/>
          <w:szCs w:val="27"/>
          <w:lang w:val="en-US" w:eastAsia="zh-CN" w:bidi="ar-SA"/>
        </w:rPr>
        <w:t xml:space="preserve">　　一、被告林众敏应于本判决生效之日起十日内偿还原告林建飞借款</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二、驳回原告林建</w:t>
      </w:r>
      <w:r>
        <w:rPr>
          <w:rFonts w:ascii="宋体" w:eastAsia="宋体" w:hAnsi="宋体" w:cs="宋体"/>
          <w:color w:val="000000"/>
          <w:sz w:val="27"/>
          <w:szCs w:val="27"/>
          <w:lang w:val="en-US" w:eastAsia="zh-CN" w:bidi="ar-SA"/>
        </w:rPr>
        <w:t>飞的其他诉讼请求。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4"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lastRenderedPageBreak/>
        <w:t xml:space="preserve">　　案件受理费</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元，由被告林众敏负担。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3" w:name="anchor-3"/>
      <w:bookmarkEnd w:id="3"/>
    </w:p>
    <w:p w14:paraId="77C9CFEF" w14:textId="77777777" w:rsidR="00000000" w:rsidRDefault="000323AC">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判</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长　梅盈碧</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廖臻韬</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林飞云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二〇一八年七月五日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记</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员　陈</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勇</w:t>
      </w:r>
    </w:p>
    <w:p w14:paraId="143B0980" w14:textId="77777777" w:rsidR="00000000" w:rsidRDefault="000323AC">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4" w:name="anchor-4"/>
      <w:bookmarkEnd w:id="4"/>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第二百一十一条自然人之间的借款合同对支付利息没有约定或者约定不明确的，视为不支付利息。自然人之间的借款合同约定支付利息的，借款的利率不得违反国家有关限制借款利率的规</w:t>
      </w:r>
      <w:r>
        <w:rPr>
          <w:rFonts w:ascii="宋体" w:eastAsia="宋体" w:hAnsi="宋体" w:cs="宋体"/>
          <w:color w:val="000000"/>
          <w:sz w:val="27"/>
          <w:szCs w:val="27"/>
          <w:lang w:val="en-US" w:eastAsia="zh-CN" w:bidi="ar-SA"/>
        </w:rPr>
        <w:t>定。</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对财产案件提起上诉的，按照不服一审判决部分的上诉请求数额交纳案件受理费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，在向人民法院提交上诉状时预交到温州市中级人民法院。</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w:t>
      </w:r>
      <w:r>
        <w:rPr>
          <w:rFonts w:ascii="宋体" w:eastAsia="宋体" w:hAnsi="宋体" w:cs="宋体"/>
          <w:color w:val="000000"/>
          <w:sz w:val="27"/>
          <w:szCs w:val="27"/>
          <w:lang w:val="en-US" w:eastAsia="zh-CN" w:bidi="ar-SA"/>
        </w:rPr>
        <w:t>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义务人未按期履行生效法律文书确定内容的，权利人应在法律文书生效之日起或法律文书确定的履行期限届满之日起两年内向法院申请执行。</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w:t>
      </w:r>
      <w:r>
        <w:rPr>
          <w:rFonts w:ascii="宋体" w:eastAsia="宋体" w:hAnsi="宋体" w:cs="宋体"/>
          <w:color w:val="000000"/>
          <w:sz w:val="27"/>
          <w:szCs w:val="27"/>
          <w:lang w:val="en-US" w:eastAsia="zh-CN" w:bidi="ar-SA"/>
        </w:rPr>
        <w:t>利人都不愿意发生的，但这是当事人交易风险在执行阶段的继续，权利人应知悉并理解此类执行不能的风险。</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执行期间人民法院有权对义务人的财产采取查封、扣押、冻结、搜查、拍卖、变卖等强制性措施；法院将依情节轻重限制义务人的高消费、纳入失信名单，向社会公布并通报征信机构，依法予以信用惩戒。</w:t>
      </w:r>
      <w:r>
        <w:rPr>
          <w:rFonts w:ascii="宋体" w:eastAsia="宋体" w:hAnsi="宋体" w:cs="宋体"/>
          <w:color w:val="000000"/>
          <w:sz w:val="27"/>
          <w:szCs w:val="27"/>
          <w:lang w:val="en-US" w:eastAsia="zh-CN" w:bidi="ar-SA"/>
        </w:rPr>
        <w:br/>
        <w:t>7.</w:t>
      </w:r>
      <w:r>
        <w:rPr>
          <w:rFonts w:ascii="宋体" w:eastAsia="宋体" w:hAnsi="宋体" w:cs="宋体"/>
          <w:color w:val="000000"/>
          <w:sz w:val="27"/>
          <w:szCs w:val="27"/>
          <w:lang w:val="en-US" w:eastAsia="zh-CN" w:bidi="ar-SA"/>
        </w:rPr>
        <w:t>人民法院对义务人拒不履行生效法律文书内容或逾期不申报、虚假申报财产的，可以采取罚款、拘留等措施，构成犯罪的，依法追究刑事责任。</w:t>
      </w:r>
      <w:r>
        <w:rPr>
          <w:rFonts w:ascii="宋体" w:eastAsia="宋体" w:hAnsi="宋体" w:cs="宋体"/>
          <w:color w:val="000000"/>
          <w:sz w:val="27"/>
          <w:szCs w:val="27"/>
          <w:lang w:val="en-US" w:eastAsia="zh-CN" w:bidi="ar-SA"/>
        </w:rPr>
        <w:br/>
        <w:t>8.</w:t>
      </w:r>
      <w:r>
        <w:rPr>
          <w:rFonts w:ascii="宋体" w:eastAsia="宋体" w:hAnsi="宋体" w:cs="宋体"/>
          <w:color w:val="000000"/>
          <w:sz w:val="27"/>
          <w:szCs w:val="27"/>
          <w:lang w:val="en-US" w:eastAsia="zh-CN" w:bidi="ar-SA"/>
        </w:rPr>
        <w:t>义务人具有中共党员、人大代表、政协委员、公职人员等特殊身份，执行立案后拒不履行义务的，人民法</w:t>
      </w:r>
      <w:r>
        <w:rPr>
          <w:rFonts w:ascii="宋体" w:eastAsia="宋体" w:hAnsi="宋体" w:cs="宋体"/>
          <w:color w:val="000000"/>
          <w:sz w:val="27"/>
          <w:szCs w:val="27"/>
          <w:lang w:val="en-US" w:eastAsia="zh-CN" w:bidi="ar-SA"/>
        </w:rPr>
        <w:t>院将向其所在单位及纪律监察部门、组织人身部门通报失信行为，并严格采取惩戒、制裁措施。</w:t>
      </w:r>
      <w:r>
        <w:rPr>
          <w:rFonts w:ascii="宋体" w:eastAsia="宋体" w:hAnsi="宋体" w:cs="宋体"/>
          <w:color w:val="000000"/>
          <w:sz w:val="27"/>
          <w:szCs w:val="27"/>
          <w:lang w:val="en-US" w:eastAsia="zh-CN" w:bidi="ar-SA"/>
        </w:rPr>
        <w:t xml:space="preserve"> </w:t>
      </w:r>
    </w:p>
    <w:p w14:paraId="37E828C6" w14:textId="77777777" w:rsidR="00000000" w:rsidRDefault="000323AC">
      <w:pPr>
        <w:ind w:left="375" w:right="375"/>
        <w:rPr>
          <w:rFonts w:ascii="Arial" w:eastAsia="Arial" w:hAnsi="Arial" w:cs="Arial"/>
          <w:lang w:val="en-US" w:eastAsia="zh-CN" w:bidi="ar-SA"/>
        </w:rPr>
      </w:pPr>
      <w:r>
        <w:rPr>
          <w:rFonts w:ascii="Arial" w:eastAsia="Arial" w:hAnsi="Arial" w:cs="Arial"/>
          <w:lang w:val="en-US" w:eastAsia="zh-CN" w:bidi="ar-SA"/>
        </w:rPr>
        <w:br/>
      </w:r>
    </w:p>
    <w:p w14:paraId="60711363" w14:textId="77777777" w:rsidR="00000000" w:rsidRDefault="00A77B3E">
      <w:pPr>
        <w:spacing w:line="630" w:lineRule="atLeast"/>
        <w:rPr>
          <w:rFonts w:eastAsia="Times New Roman"/>
          <w:sz w:val="26"/>
          <w:szCs w:val="26"/>
          <w:lang w:val="en-US" w:eastAsia="zh-CN" w:bidi="ar-SA"/>
        </w:rPr>
      </w:pPr>
      <w:r>
        <w:br w:type="page"/>
      </w:r>
      <w:r w:rsidR="000323AC">
        <w:rPr>
          <w:rFonts w:eastAsia="Times New Roman"/>
          <w:sz w:val="26"/>
          <w:szCs w:val="26"/>
          <w:lang w:val="en-US" w:eastAsia="zh-CN" w:bidi="ar-SA"/>
        </w:rPr>
        <w:t>©北大法宝：（</w:t>
      </w:r>
      <w:hyperlink r:id="rId17" w:history="1">
        <w:r w:rsidR="000323AC">
          <w:rPr>
            <w:rFonts w:eastAsia="Times New Roman"/>
            <w:color w:val="218FC4"/>
            <w:sz w:val="26"/>
            <w:szCs w:val="26"/>
            <w:u w:val="single" w:color="218FC4"/>
            <w:lang w:val="en-US" w:eastAsia="zh-CN" w:bidi="ar-SA"/>
          </w:rPr>
          <w:t>www.pkulaw.com</w:t>
        </w:r>
      </w:hyperlink>
      <w:r w:rsidR="000323AC">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8" w:tgtFrame="_blank" w:history="1">
        <w:r w:rsidR="000323AC">
          <w:rPr>
            <w:rFonts w:eastAsia="Times New Roman"/>
            <w:color w:val="218FC4"/>
            <w:sz w:val="26"/>
            <w:szCs w:val="26"/>
            <w:u w:val="single" w:color="218FC4"/>
            <w:lang w:val="en-US" w:eastAsia="zh-CN" w:bidi="ar-SA"/>
          </w:rPr>
          <w:t>产品和服务</w:t>
        </w:r>
      </w:hyperlink>
      <w:r w:rsidR="000323AC">
        <w:rPr>
          <w:rFonts w:eastAsia="Times New Roman"/>
          <w:sz w:val="26"/>
          <w:szCs w:val="26"/>
          <w:lang w:val="en-US" w:eastAsia="zh-CN" w:bidi="ar-SA"/>
        </w:rPr>
        <w:t>。</w:t>
      </w:r>
      <w:r w:rsidR="000323AC">
        <w:rPr>
          <w:rFonts w:eastAsia="Times New Roman"/>
          <w:sz w:val="26"/>
          <w:szCs w:val="26"/>
          <w:lang w:val="en-US" w:eastAsia="zh-CN" w:bidi="ar-SA"/>
        </w:rPr>
        <w:br/>
      </w:r>
      <w:hyperlink r:id="rId19" w:tgtFrame="_blank" w:history="1">
        <w:r w:rsidR="000323AC">
          <w:rPr>
            <w:rFonts w:eastAsia="Times New Roman"/>
            <w:color w:val="218FC4"/>
            <w:sz w:val="26"/>
            <w:szCs w:val="26"/>
            <w:u w:val="single" w:color="218FC4"/>
            <w:lang w:val="en-US" w:eastAsia="zh-CN" w:bidi="ar-SA"/>
          </w:rPr>
          <w:t>法宝快讯： 如何快速找到您需要的检索结果？ 法宝 V6 有何新特色？</w:t>
        </w:r>
      </w:hyperlink>
    </w:p>
    <w:p w14:paraId="6D01A689" w14:textId="77777777" w:rsidR="00000000" w:rsidRDefault="000323AC">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0" o:title=""/>
          </v:shape>
        </w:pict>
      </w:r>
    </w:p>
    <w:p w14:paraId="735ED359" w14:textId="77777777" w:rsidR="00000000" w:rsidRDefault="000323AC">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17DEE7A8" w14:textId="77777777" w:rsidR="00000000" w:rsidRDefault="000323AC">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1" w:tgtFrame="_blank" w:history="1">
        <w:r>
          <w:rPr>
            <w:rFonts w:eastAsia="Times New Roman"/>
            <w:color w:val="000000"/>
            <w:sz w:val="26"/>
            <w:szCs w:val="26"/>
            <w:u w:val="single" w:color="000000"/>
            <w:lang w:val="en-US" w:eastAsia="zh-CN" w:bidi="ar-SA"/>
          </w:rPr>
          <w:t>https://www.pkulaw.com/pfnl/95b2ca8d4055fce1</w:t>
        </w:r>
        <w:r>
          <w:rPr>
            <w:rFonts w:eastAsia="Times New Roman"/>
            <w:color w:val="000000"/>
            <w:sz w:val="26"/>
            <w:szCs w:val="26"/>
            <w:u w:val="single" w:color="000000"/>
            <w:lang w:val="en-US" w:eastAsia="zh-CN" w:bidi="ar-SA"/>
          </w:rPr>
          <w:t xml:space="preserve">91197ae3e75874496af8e841186d81c2bdfb.html </w:t>
        </w:r>
      </w:hyperlink>
    </w:p>
    <w:p w14:paraId="5D69E847" w14:textId="77777777" w:rsidR="00A77B3E" w:rsidRDefault="00A77B3E"/>
    <w:sectPr w:rsidR="00A77B3E">
      <w:headerReference w:type="default" r:id="rId22"/>
      <w:footerReference w:type="default" r:id="rId23"/>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1306D" w14:textId="77777777" w:rsidR="00000000" w:rsidRDefault="000323AC">
      <w:r>
        <w:separator/>
      </w:r>
    </w:p>
  </w:endnote>
  <w:endnote w:type="continuationSeparator" w:id="0">
    <w:p w14:paraId="53EE5F9E" w14:textId="77777777" w:rsidR="00000000" w:rsidRDefault="00032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642FBD56" w14:textId="77777777">
      <w:trPr>
        <w:tblCellSpacing w:w="15" w:type="dxa"/>
      </w:trPr>
      <w:tc>
        <w:tcPr>
          <w:tcW w:w="1530" w:type="dxa"/>
          <w:tcMar>
            <w:top w:w="15" w:type="dxa"/>
            <w:left w:w="15" w:type="dxa"/>
            <w:bottom w:w="15" w:type="dxa"/>
            <w:right w:w="15" w:type="dxa"/>
          </w:tcMar>
          <w:vAlign w:val="center"/>
          <w:hideMark/>
        </w:tcPr>
        <w:p w14:paraId="17162185" w14:textId="77777777" w:rsidR="00000000" w:rsidRDefault="000323AC">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4710A250" w14:textId="77777777" w:rsidR="00000000" w:rsidRDefault="000323AC">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167F8A20" w14:textId="77777777" w:rsidR="00000000" w:rsidRDefault="000323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DA3D" w14:textId="77777777" w:rsidR="00000000" w:rsidRDefault="000323AC">
      <w:r>
        <w:separator/>
      </w:r>
    </w:p>
  </w:footnote>
  <w:footnote w:type="continuationSeparator" w:id="0">
    <w:p w14:paraId="16DA1301" w14:textId="77777777" w:rsidR="00000000" w:rsidRDefault="00032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761"/>
      <w:gridCol w:w="5795"/>
    </w:tblGrid>
    <w:tr w:rsidR="00000000" w14:paraId="5C897436" w14:textId="77777777">
      <w:trPr>
        <w:tblCellSpacing w:w="15" w:type="dxa"/>
      </w:trPr>
      <w:tc>
        <w:tcPr>
          <w:tcW w:w="0" w:type="auto"/>
          <w:tcMar>
            <w:top w:w="15" w:type="dxa"/>
            <w:left w:w="15" w:type="dxa"/>
            <w:bottom w:w="15" w:type="dxa"/>
            <w:right w:w="15" w:type="dxa"/>
          </w:tcMar>
          <w:vAlign w:val="center"/>
          <w:hideMark/>
        </w:tcPr>
        <w:p w14:paraId="25AB039A" w14:textId="77777777" w:rsidR="00000000" w:rsidRDefault="000323AC">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CB5FBCB" w14:textId="77777777" w:rsidR="00000000" w:rsidRDefault="000323AC">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CLI.C.403269900</w:t>
          </w:r>
        </w:p>
      </w:tc>
    </w:tr>
  </w:tbl>
  <w:p w14:paraId="203C10D0" w14:textId="77777777" w:rsidR="00000000" w:rsidRDefault="000323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323AC"/>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BDC153"/>
  <w15:chartTrackingRefBased/>
  <w15:docId w15:val="{8BAB1264-C05E-4A9E-8068-9EE1A2009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0323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323AC"/>
    <w:rPr>
      <w:sz w:val="18"/>
      <w:szCs w:val="18"/>
    </w:rPr>
  </w:style>
  <w:style w:type="paragraph" w:styleId="a5">
    <w:name w:val="footer"/>
    <w:basedOn w:val="a"/>
    <w:link w:val="a6"/>
    <w:rsid w:val="000323AC"/>
    <w:pPr>
      <w:tabs>
        <w:tab w:val="center" w:pos="4153"/>
        <w:tab w:val="right" w:pos="8306"/>
      </w:tabs>
      <w:snapToGrid w:val="0"/>
    </w:pPr>
    <w:rPr>
      <w:sz w:val="18"/>
      <w:szCs w:val="18"/>
    </w:rPr>
  </w:style>
  <w:style w:type="character" w:customStyle="1" w:styleId="a6">
    <w:name w:val="页脚 字符"/>
    <w:basedOn w:val="a0"/>
    <w:link w:val="a5"/>
    <w:rsid w:val="000323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d33df017c784876fbdfb.html?way=textSlc" TargetMode="External"/><Relationship Id="rId18" Type="http://schemas.openxmlformats.org/officeDocument/2006/relationships/hyperlink" Target="http://www.pkulaw.net/" TargetMode="External"/><Relationship Id="rId3" Type="http://schemas.openxmlformats.org/officeDocument/2006/relationships/settings" Target="settings.xml"/><Relationship Id="rId21" Type="http://schemas.openxmlformats.org/officeDocument/2006/relationships/hyperlink" Target="https://www.pkulaw.com/pfnl/95b2ca8d4055fce191197ae3e75874496af8e841186d81c2bdfb.html" TargetMode="Externa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d33df017c784876fbdfb.html?way=textSlc" TargetMode="External"/><Relationship Id="rId17" Type="http://schemas.openxmlformats.org/officeDocument/2006/relationships/hyperlink" Target="https://www.pkulaw.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d33df017c784876fbdfb.html?way=textSl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footer" Target="foot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www.pkulaw.com/helps/69.html"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33df017c784876fbdfb.html?way=textSlc"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2024-05-11T15:37:00Z</dcterms:created>
  <dcterms:modified xsi:type="dcterms:W3CDTF">2024-05-11T15:37:00Z</dcterms:modified>
</cp:coreProperties>
</file>