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2BAAF" w14:textId="77777777" w:rsidR="00000000" w:rsidRDefault="00B2106E">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黄建才诉谢先伟民间借贷纠纷案</w:t>
      </w:r>
    </w:p>
    <w:p w14:paraId="33C0AD5B" w14:textId="77777777" w:rsidR="00000000" w:rsidRDefault="00B2106E">
      <w:pPr>
        <w:ind w:left="375" w:right="375"/>
        <w:rPr>
          <w:rFonts w:ascii="Arial" w:eastAsia="Arial" w:hAnsi="Arial" w:cs="Arial"/>
          <w:lang w:val="en-US" w:eastAsia="zh-CN" w:bidi="ar-SA"/>
        </w:rPr>
      </w:pPr>
      <w:r>
        <w:rPr>
          <w:rFonts w:ascii="Arial" w:eastAsia="Arial" w:hAnsi="Arial" w:cs="Arial"/>
          <w:lang w:val="en-US" w:eastAsia="zh-CN" w:bidi="ar-SA"/>
        </w:rPr>
        <w:br/>
      </w:r>
    </w:p>
    <w:p w14:paraId="01C7578D" w14:textId="77777777" w:rsidR="00000000" w:rsidRDefault="00B2106E">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黄建才诉谢先伟民间借贷纠纷案</w:t>
      </w:r>
    </w:p>
    <w:p w14:paraId="57766761" w14:textId="77777777" w:rsidR="00000000" w:rsidRDefault="00B2106E">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浙江省温州市瓯海区人民法院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7468E60E" w14:textId="77777777" w:rsidR="00000000" w:rsidRDefault="00B2106E">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温瓯商初字第</w:t>
      </w:r>
      <w:r>
        <w:rPr>
          <w:rFonts w:ascii="宋体" w:eastAsia="宋体" w:hAnsi="宋体" w:cs="宋体"/>
          <w:color w:val="000000"/>
          <w:sz w:val="27"/>
          <w:szCs w:val="27"/>
          <w:lang w:val="en-US" w:eastAsia="zh-CN" w:bidi="ar-SA"/>
        </w:rPr>
        <w:t>1452</w:t>
      </w:r>
      <w:r>
        <w:rPr>
          <w:rFonts w:ascii="宋体" w:eastAsia="宋体" w:hAnsi="宋体" w:cs="宋体"/>
          <w:color w:val="000000"/>
          <w:sz w:val="27"/>
          <w:szCs w:val="27"/>
          <w:lang w:val="en-US" w:eastAsia="zh-CN" w:bidi="ar-SA"/>
        </w:rPr>
        <w:t>号</w:t>
      </w:r>
    </w:p>
    <w:p w14:paraId="774E948E" w14:textId="77777777" w:rsidR="00000000" w:rsidRDefault="00B2106E">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当事人</w:t>
      </w:r>
      <w:bookmarkStart w:id="0" w:name="anchor-0"/>
      <w:bookmarkEnd w:id="0"/>
      <w:r>
        <w:rPr>
          <w:rFonts w:ascii="宋体" w:eastAsia="宋体" w:hAnsi="宋体" w:cs="宋体"/>
          <w:color w:val="000000"/>
          <w:sz w:val="27"/>
          <w:szCs w:val="27"/>
          <w:lang w:val="en-US" w:eastAsia="zh-CN" w:bidi="ar-SA"/>
        </w:rPr>
        <w:t xml:space="preserve">　　原告：黄建才。</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被告：谢先伟。</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审理经过</w:t>
      </w:r>
      <w:bookmarkStart w:id="1" w:name="anchor-1"/>
      <w:bookmarkEnd w:id="1"/>
      <w:r>
        <w:rPr>
          <w:rFonts w:ascii="宋体" w:eastAsia="宋体" w:hAnsi="宋体" w:cs="宋体"/>
          <w:color w:val="000000"/>
          <w:sz w:val="27"/>
          <w:szCs w:val="27"/>
          <w:lang w:val="en-US" w:eastAsia="zh-CN" w:bidi="ar-SA"/>
        </w:rPr>
        <w:t xml:space="preserve">　　原告黄建才为与被告谢先伟民间借贷纠纷一案，原告于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8</w:t>
      </w:r>
      <w:r>
        <w:rPr>
          <w:rFonts w:ascii="宋体" w:eastAsia="宋体" w:hAnsi="宋体" w:cs="宋体"/>
          <w:color w:val="000000"/>
          <w:sz w:val="27"/>
          <w:szCs w:val="27"/>
          <w:lang w:val="en-US" w:eastAsia="zh-CN" w:bidi="ar-SA"/>
        </w:rPr>
        <w:t>日向法院提起诉讼，请求法院判令：被告偿还原告借款本金</w:t>
      </w:r>
      <w:r>
        <w:rPr>
          <w:rFonts w:ascii="宋体" w:eastAsia="宋体" w:hAnsi="宋体" w:cs="宋体"/>
          <w:color w:val="000000"/>
          <w:sz w:val="27"/>
          <w:szCs w:val="27"/>
          <w:lang w:val="en-US" w:eastAsia="zh-CN" w:bidi="ar-SA"/>
        </w:rPr>
        <w:t>32000</w:t>
      </w:r>
      <w:r>
        <w:rPr>
          <w:rFonts w:ascii="宋体" w:eastAsia="宋体" w:hAnsi="宋体" w:cs="宋体"/>
          <w:color w:val="000000"/>
          <w:sz w:val="27"/>
          <w:szCs w:val="27"/>
          <w:lang w:val="en-US" w:eastAsia="zh-CN" w:bidi="ar-SA"/>
        </w:rPr>
        <w:t>元。本院受理后，依法适用普通程序，于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日公开开庭进行审理并当庭予以宣告判决，原告黄建才到庭参加诉讼，被告谢先伟经本院合法传唤无正当理由拒不到庭。本案现已审理终结。</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w:t>
      </w:r>
      <w:r>
        <w:rPr>
          <w:rStyle w:val="span"/>
          <w:rFonts w:ascii="宋体" w:eastAsia="宋体" w:hAnsi="宋体" w:cs="宋体"/>
          <w:vanish/>
          <w:color w:val="000000"/>
          <w:sz w:val="27"/>
          <w:szCs w:val="27"/>
          <w:lang w:val="en-US" w:eastAsia="zh-CN" w:bidi="ar-SA"/>
        </w:rPr>
        <w:t>查明</w:t>
      </w:r>
      <w:bookmarkStart w:id="2" w:name="anchor-3"/>
      <w:bookmarkEnd w:id="2"/>
      <w:r>
        <w:rPr>
          <w:rFonts w:ascii="宋体" w:eastAsia="宋体" w:hAnsi="宋体" w:cs="宋体"/>
          <w:color w:val="000000"/>
          <w:sz w:val="27"/>
          <w:szCs w:val="27"/>
          <w:lang w:val="en-US" w:eastAsia="zh-CN" w:bidi="ar-SA"/>
        </w:rPr>
        <w:t xml:space="preserve">　　本院经审理认定：原、被告原系同事关系。</w:t>
      </w:r>
      <w:r>
        <w:rPr>
          <w:rFonts w:ascii="宋体" w:eastAsia="宋体" w:hAnsi="宋体" w:cs="宋体"/>
          <w:color w:val="000000"/>
          <w:sz w:val="27"/>
          <w:szCs w:val="27"/>
          <w:lang w:val="en-US" w:eastAsia="zh-CN" w:bidi="ar-SA"/>
        </w:rPr>
        <w:t>2013</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14</w:t>
      </w:r>
      <w:r>
        <w:rPr>
          <w:rFonts w:ascii="宋体" w:eastAsia="宋体" w:hAnsi="宋体" w:cs="宋体"/>
          <w:color w:val="000000"/>
          <w:sz w:val="27"/>
          <w:szCs w:val="27"/>
          <w:lang w:val="en-US" w:eastAsia="zh-CN" w:bidi="ar-SA"/>
        </w:rPr>
        <w:t>日，被告谢先伟以购车为由向原告借款</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元，并原告出具了借条，承诺借款于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日还清。</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日，被告谢先伟又向原告借款</w:t>
      </w:r>
      <w:r>
        <w:rPr>
          <w:rFonts w:ascii="宋体" w:eastAsia="宋体" w:hAnsi="宋体" w:cs="宋体"/>
          <w:color w:val="000000"/>
          <w:sz w:val="27"/>
          <w:szCs w:val="27"/>
          <w:lang w:val="en-US" w:eastAsia="zh-CN" w:bidi="ar-SA"/>
        </w:rPr>
        <w:t>2000</w:t>
      </w:r>
      <w:r>
        <w:rPr>
          <w:rFonts w:ascii="宋体" w:eastAsia="宋体" w:hAnsi="宋体" w:cs="宋体"/>
          <w:color w:val="000000"/>
          <w:sz w:val="27"/>
          <w:szCs w:val="27"/>
          <w:lang w:val="en-US" w:eastAsia="zh-CN" w:bidi="ar-SA"/>
        </w:rPr>
        <w:t>元，同时向原告出具了金额为</w:t>
      </w:r>
      <w:r>
        <w:rPr>
          <w:rFonts w:ascii="宋体" w:eastAsia="宋体" w:hAnsi="宋体" w:cs="宋体"/>
          <w:color w:val="000000"/>
          <w:sz w:val="27"/>
          <w:szCs w:val="27"/>
          <w:lang w:val="en-US" w:eastAsia="zh-CN" w:bidi="ar-SA"/>
        </w:rPr>
        <w:t>32000</w:t>
      </w:r>
      <w:r>
        <w:rPr>
          <w:rFonts w:ascii="宋体" w:eastAsia="宋体" w:hAnsi="宋体" w:cs="宋体"/>
          <w:color w:val="000000"/>
          <w:sz w:val="27"/>
          <w:szCs w:val="27"/>
          <w:lang w:val="en-US" w:eastAsia="zh-CN" w:bidi="ar-SA"/>
        </w:rPr>
        <w:t>元的借据（包括前期借款</w:t>
      </w:r>
      <w:r>
        <w:rPr>
          <w:rFonts w:ascii="宋体" w:eastAsia="宋体" w:hAnsi="宋体" w:cs="宋体"/>
          <w:color w:val="000000"/>
          <w:sz w:val="27"/>
          <w:szCs w:val="27"/>
          <w:lang w:val="en-US" w:eastAsia="zh-CN" w:bidi="ar-SA"/>
        </w:rPr>
        <w:t>30000</w:t>
      </w:r>
      <w:r>
        <w:rPr>
          <w:rFonts w:ascii="宋体" w:eastAsia="宋体" w:hAnsi="宋体" w:cs="宋体"/>
          <w:color w:val="000000"/>
          <w:sz w:val="27"/>
          <w:szCs w:val="27"/>
          <w:lang w:val="en-US" w:eastAsia="zh-CN" w:bidi="ar-SA"/>
        </w:rPr>
        <w:t>元），承诺于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18</w:t>
      </w:r>
      <w:r>
        <w:rPr>
          <w:rFonts w:ascii="宋体" w:eastAsia="宋体" w:hAnsi="宋体" w:cs="宋体"/>
          <w:color w:val="000000"/>
          <w:sz w:val="27"/>
          <w:szCs w:val="27"/>
          <w:lang w:val="en-US" w:eastAsia="zh-CN" w:bidi="ar-SA"/>
        </w:rPr>
        <w:t>日前偿还</w:t>
      </w:r>
      <w:r>
        <w:rPr>
          <w:rFonts w:ascii="宋体" w:eastAsia="宋体" w:hAnsi="宋体" w:cs="宋体"/>
          <w:color w:val="000000"/>
          <w:sz w:val="27"/>
          <w:szCs w:val="27"/>
          <w:lang w:val="en-US" w:eastAsia="zh-CN" w:bidi="ar-SA"/>
        </w:rPr>
        <w:t>10000</w:t>
      </w:r>
      <w:r>
        <w:rPr>
          <w:rFonts w:ascii="宋体" w:eastAsia="宋体" w:hAnsi="宋体" w:cs="宋体"/>
          <w:color w:val="000000"/>
          <w:sz w:val="27"/>
          <w:szCs w:val="27"/>
          <w:lang w:val="en-US" w:eastAsia="zh-CN" w:bidi="ar-SA"/>
        </w:rPr>
        <w:t>元，余款于</w:t>
      </w:r>
      <w:r>
        <w:rPr>
          <w:rFonts w:ascii="宋体" w:eastAsia="宋体" w:hAnsi="宋体" w:cs="宋体"/>
          <w:color w:val="000000"/>
          <w:sz w:val="27"/>
          <w:szCs w:val="27"/>
          <w:lang w:val="en-US" w:eastAsia="zh-CN" w:bidi="ar-SA"/>
        </w:rPr>
        <w:t>2015</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日前还清。</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本院认为</w:t>
      </w:r>
      <w:bookmarkStart w:id="3" w:name="anchor-4"/>
      <w:bookmarkEnd w:id="3"/>
      <w:r>
        <w:rPr>
          <w:rFonts w:ascii="宋体" w:eastAsia="宋体" w:hAnsi="宋体" w:cs="宋体"/>
          <w:color w:val="000000"/>
          <w:sz w:val="27"/>
          <w:szCs w:val="27"/>
          <w:lang w:val="en-US" w:eastAsia="zh-CN" w:bidi="ar-SA"/>
        </w:rPr>
        <w:t xml:space="preserve">　　本院认为：原、被告之间民间借贷关系，事实清楚，证据充分。据此，依照</w:t>
      </w:r>
      <w:bookmarkStart w:id="4" w:name="anchor-7"/>
      <w:bookmarkEnd w:id="4"/>
      <w:r>
        <w:rPr>
          <w:rFonts w:ascii="宋体" w:eastAsia="宋体" w:hAnsi="宋体" w:cs="宋体"/>
          <w:color w:val="000000"/>
          <w:sz w:val="27"/>
          <w:szCs w:val="27"/>
          <w:lang w:val="en-US" w:eastAsia="zh-CN" w:bidi="ar-SA"/>
        </w:rPr>
        <w:t>《</w:t>
      </w:r>
      <w:hyperlink r:id="rId7"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8"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9" w:anchor="tiao_210" w:history="1">
        <w:r>
          <w:rPr>
            <w:rStyle w:val="fulltext-wrapfulltexta"/>
            <w:rFonts w:ascii="宋体" w:eastAsia="宋体" w:hAnsi="宋体" w:cs="宋体"/>
            <w:sz w:val="27"/>
            <w:szCs w:val="27"/>
            <w:lang w:val="en-US" w:eastAsia="zh-CN" w:bidi="ar-SA"/>
          </w:rPr>
          <w:t>二百一十条</w:t>
        </w:r>
      </w:hyperlink>
      <w:r>
        <w:rPr>
          <w:rFonts w:ascii="宋体" w:eastAsia="宋体" w:hAnsi="宋体" w:cs="宋体"/>
          <w:color w:val="000000"/>
          <w:sz w:val="27"/>
          <w:szCs w:val="27"/>
          <w:lang w:val="en-US" w:eastAsia="zh-CN" w:bidi="ar-SA"/>
        </w:rPr>
        <w:t>、第</w:t>
      </w:r>
      <w:hyperlink r:id="rId10" w:anchor="tiao_211" w:history="1">
        <w:r>
          <w:rPr>
            <w:rStyle w:val="fulltext-wrapfulltexta"/>
            <w:rFonts w:ascii="宋体" w:eastAsia="宋体" w:hAnsi="宋体" w:cs="宋体"/>
            <w:sz w:val="27"/>
            <w:szCs w:val="27"/>
            <w:lang w:val="en-US" w:eastAsia="zh-CN" w:bidi="ar-SA"/>
          </w:rPr>
          <w:t>二百一十一条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2"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之规定，判决如下：</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裁判结果</w:t>
      </w:r>
      <w:bookmarkStart w:id="5" w:name="anchor-2"/>
      <w:bookmarkEnd w:id="5"/>
      <w:r>
        <w:rPr>
          <w:rFonts w:ascii="宋体" w:eastAsia="宋体" w:hAnsi="宋体" w:cs="宋体"/>
          <w:color w:val="000000"/>
          <w:sz w:val="27"/>
          <w:szCs w:val="27"/>
          <w:lang w:val="en-US" w:eastAsia="zh-CN" w:bidi="ar-SA"/>
        </w:rPr>
        <w:t xml:space="preserve">　　被告谢先伟应在本判决生效后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日内偿付原告黄建才借款本金</w:t>
      </w:r>
      <w:r>
        <w:rPr>
          <w:rFonts w:ascii="宋体" w:eastAsia="宋体" w:hAnsi="宋体" w:cs="宋体"/>
          <w:color w:val="000000"/>
          <w:sz w:val="27"/>
          <w:szCs w:val="27"/>
          <w:lang w:val="en-US" w:eastAsia="zh-CN" w:bidi="ar-SA"/>
        </w:rPr>
        <w:lastRenderedPageBreak/>
        <w:t>32000</w:t>
      </w:r>
      <w:r>
        <w:rPr>
          <w:rFonts w:ascii="宋体" w:eastAsia="宋体" w:hAnsi="宋体" w:cs="宋体"/>
          <w:color w:val="000000"/>
          <w:sz w:val="27"/>
          <w:szCs w:val="27"/>
          <w:lang w:val="en-US" w:eastAsia="zh-CN" w:bidi="ar-SA"/>
        </w:rPr>
        <w:t>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被告如果未按本判决指定的期间履行给付金钱义务，应当依照《</w:t>
      </w:r>
      <w:hyperlink r:id="rId1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4"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的规定，加倍支付迟延履行期间的债务利息。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本案受理费</w:t>
      </w:r>
      <w:r>
        <w:rPr>
          <w:rFonts w:ascii="宋体" w:eastAsia="宋体" w:hAnsi="宋体" w:cs="宋体"/>
          <w:color w:val="000000"/>
          <w:sz w:val="27"/>
          <w:szCs w:val="27"/>
          <w:lang w:val="en-US" w:eastAsia="zh-CN" w:bidi="ar-SA"/>
        </w:rPr>
        <w:t>600</w:t>
      </w:r>
      <w:r>
        <w:rPr>
          <w:rFonts w:ascii="宋体" w:eastAsia="宋体" w:hAnsi="宋体" w:cs="宋体"/>
          <w:color w:val="000000"/>
          <w:sz w:val="27"/>
          <w:szCs w:val="27"/>
          <w:lang w:val="en-US" w:eastAsia="zh-CN" w:bidi="ar-SA"/>
        </w:rPr>
        <w:t>元、公告费</w:t>
      </w:r>
      <w:r>
        <w:rPr>
          <w:rFonts w:ascii="宋体" w:eastAsia="宋体" w:hAnsi="宋体" w:cs="宋体"/>
          <w:color w:val="000000"/>
          <w:sz w:val="27"/>
          <w:szCs w:val="27"/>
          <w:lang w:val="en-US" w:eastAsia="zh-CN" w:bidi="ar-SA"/>
        </w:rPr>
        <w:t>650</w:t>
      </w:r>
      <w:r>
        <w:rPr>
          <w:rFonts w:ascii="宋体" w:eastAsia="宋体" w:hAnsi="宋体" w:cs="宋体"/>
          <w:color w:val="000000"/>
          <w:sz w:val="27"/>
          <w:szCs w:val="27"/>
          <w:lang w:val="en-US" w:eastAsia="zh-CN" w:bidi="ar-SA"/>
        </w:rPr>
        <w:t>元，合计</w:t>
      </w:r>
      <w:r>
        <w:rPr>
          <w:rFonts w:ascii="宋体" w:eastAsia="宋体" w:hAnsi="宋体" w:cs="宋体"/>
          <w:color w:val="000000"/>
          <w:sz w:val="27"/>
          <w:szCs w:val="27"/>
          <w:lang w:val="en-US" w:eastAsia="zh-CN" w:bidi="ar-SA"/>
        </w:rPr>
        <w:t>1250</w:t>
      </w:r>
      <w:r>
        <w:rPr>
          <w:rFonts w:ascii="宋体" w:eastAsia="宋体" w:hAnsi="宋体" w:cs="宋体"/>
          <w:color w:val="000000"/>
          <w:sz w:val="27"/>
          <w:szCs w:val="27"/>
          <w:lang w:val="en-US" w:eastAsia="zh-CN" w:bidi="ar-SA"/>
        </w:rPr>
        <w:t>元，由被告谢先伟负担（公告费由原告垫付）。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如不服本判决，可在判决书送达之日起十五日内向本院递交上诉状，并按对方当事人的人数提出副本，上诉于浙江省温州市中级人民法院。</w:t>
      </w: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落款</w:t>
      </w:r>
      <w:bookmarkStart w:id="6" w:name="anchor-5"/>
      <w:bookmarkEnd w:id="6"/>
    </w:p>
    <w:p w14:paraId="1CA5F3F7" w14:textId="77777777" w:rsidR="00000000" w:rsidRDefault="00B2106E">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审　判　长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张宪武</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人民陪审员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吴劲峰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人民陪审员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潘洪銮</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r>
        <w:rPr>
          <w:rFonts w:ascii="宋体" w:eastAsia="宋体" w:hAnsi="宋体" w:cs="宋体"/>
          <w:color w:val="000000"/>
          <w:sz w:val="27"/>
          <w:szCs w:val="27"/>
          <w:lang w:val="en-US" w:eastAsia="zh-CN" w:bidi="ar-SA"/>
        </w:rPr>
        <w:t xml:space="preserve">〇一六年一月二十二日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书　记　员　</w:t>
      </w:r>
      <w:r>
        <w:rPr>
          <w:rFonts w:ascii="宋体" w:eastAsia="宋体" w:hAnsi="宋体" w:cs="宋体"/>
          <w:color w:val="000000"/>
          <w:sz w:val="27"/>
          <w:szCs w:val="27"/>
          <w:lang w:val="en-US" w:eastAsia="zh-CN" w:bidi="ar-SA"/>
        </w:rPr>
        <w:t xml:space="preserve"> </w:t>
      </w:r>
      <w:r>
        <w:rPr>
          <w:rFonts w:ascii="宋体" w:eastAsia="宋体" w:hAnsi="宋体" w:cs="宋体"/>
          <w:color w:val="000000"/>
          <w:sz w:val="27"/>
          <w:szCs w:val="27"/>
          <w:lang w:val="en-US" w:eastAsia="zh-CN" w:bidi="ar-SA"/>
        </w:rPr>
        <w:t>周荣荣</w:t>
      </w:r>
    </w:p>
    <w:p w14:paraId="258CFF42" w14:textId="77777777" w:rsidR="00000000" w:rsidRDefault="00B2106E">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Style w:val="span"/>
          <w:rFonts w:ascii="宋体" w:eastAsia="宋体" w:hAnsi="宋体" w:cs="宋体"/>
          <w:vanish/>
          <w:color w:val="000000"/>
          <w:sz w:val="27"/>
          <w:szCs w:val="27"/>
          <w:lang w:val="en-US" w:eastAsia="zh-CN" w:bidi="ar-SA"/>
        </w:rPr>
        <w:t>附法律依据</w:t>
      </w:r>
      <w:bookmarkStart w:id="7" w:name="anchor-6"/>
      <w:bookmarkEnd w:id="7"/>
      <w:r>
        <w:rPr>
          <w:rFonts w:ascii="宋体" w:eastAsia="宋体" w:hAnsi="宋体" w:cs="宋体"/>
          <w:color w:val="000000"/>
          <w:sz w:val="27"/>
          <w:szCs w:val="27"/>
          <w:lang w:val="en-US" w:eastAsia="zh-CN" w:bidi="ar-SA"/>
        </w:rPr>
        <w:t>附告：判决适用的法律条文及当事人应知的相关事项</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一、判决适用的法律条文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5"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w:t>
      </w:r>
      <w:hyperlink r:id="rId16"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第二百一十条自然人之间的借款合同，自贷款人提供借款时生效。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第二百一十一条自然人之间的借款合同对支付利息没有约定或者约定不明确的，视为不支付利息。自然人之间的借款合同约定支付利息的，借款的利率不得违反国家有关限制借款利率的规定。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二、当事人应知的相关事项</w:t>
      </w:r>
      <w:r>
        <w:rPr>
          <w:rFonts w:ascii="宋体" w:eastAsia="宋体" w:hAnsi="宋体" w:cs="宋体"/>
          <w:color w:val="000000"/>
          <w:sz w:val="27"/>
          <w:szCs w:val="27"/>
          <w:lang w:val="en-US" w:eastAsia="zh-CN" w:bidi="ar-SA"/>
        </w:rPr>
        <w:br/>
        <w:t>1.</w:t>
      </w:r>
      <w:r>
        <w:rPr>
          <w:rFonts w:ascii="宋体" w:eastAsia="宋体" w:hAnsi="宋体" w:cs="宋体"/>
          <w:color w:val="000000"/>
          <w:sz w:val="27"/>
          <w:szCs w:val="27"/>
          <w:lang w:val="en-US" w:eastAsia="zh-CN" w:bidi="ar-SA"/>
        </w:rPr>
        <w:t>上诉人应按一审案件受理费标准预交上诉案件受理费（对财产案件提起上诉的，按照不服一审判决部分的上诉请求数额交纳案件受理费），在向人民法院提交上诉状时预交到温州市中级人民法院，或通过农业银行温州市分行电汇至温州市财政局非税收入结算户，帐号：</w:t>
      </w:r>
      <w:r>
        <w:rPr>
          <w:rFonts w:ascii="宋体" w:eastAsia="宋体" w:hAnsi="宋体" w:cs="宋体"/>
          <w:color w:val="000000"/>
          <w:sz w:val="27"/>
          <w:szCs w:val="27"/>
          <w:lang w:val="en-US" w:eastAsia="zh-CN" w:bidi="ar-SA"/>
        </w:rPr>
        <w:t>192999010400031950013</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t>2.</w:t>
      </w:r>
      <w:r>
        <w:rPr>
          <w:rFonts w:ascii="宋体" w:eastAsia="宋体" w:hAnsi="宋体" w:cs="宋体"/>
          <w:color w:val="000000"/>
          <w:sz w:val="27"/>
          <w:szCs w:val="27"/>
          <w:lang w:val="en-US" w:eastAsia="zh-CN" w:bidi="ar-SA"/>
        </w:rPr>
        <w:t>当事人一般应自案件裁判文书生效后</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日内向人民法院领取裁判文书生效通知书。</w:t>
      </w:r>
      <w:r>
        <w:rPr>
          <w:rFonts w:ascii="宋体" w:eastAsia="宋体" w:hAnsi="宋体" w:cs="宋体"/>
          <w:color w:val="000000"/>
          <w:sz w:val="27"/>
          <w:szCs w:val="27"/>
          <w:lang w:val="en-US" w:eastAsia="zh-CN" w:bidi="ar-SA"/>
        </w:rPr>
        <w:br/>
        <w:t>3.</w:t>
      </w:r>
      <w:r>
        <w:rPr>
          <w:rFonts w:ascii="宋体" w:eastAsia="宋体" w:hAnsi="宋体" w:cs="宋体"/>
          <w:color w:val="000000"/>
          <w:sz w:val="27"/>
          <w:szCs w:val="27"/>
          <w:lang w:val="en-US" w:eastAsia="zh-CN" w:bidi="ar-SA"/>
        </w:rPr>
        <w:t>需要退还诉讼费用的，当事人应在裁判文书生效后</w:t>
      </w:r>
      <w:r>
        <w:rPr>
          <w:rFonts w:ascii="宋体" w:eastAsia="宋体" w:hAnsi="宋体" w:cs="宋体"/>
          <w:color w:val="000000"/>
          <w:sz w:val="27"/>
          <w:szCs w:val="27"/>
          <w:lang w:val="en-US" w:eastAsia="zh-CN" w:bidi="ar-SA"/>
        </w:rPr>
        <w:t>15</w:t>
      </w:r>
      <w:r>
        <w:rPr>
          <w:rFonts w:ascii="宋体" w:eastAsia="宋体" w:hAnsi="宋体" w:cs="宋体"/>
          <w:color w:val="000000"/>
          <w:sz w:val="27"/>
          <w:szCs w:val="27"/>
          <w:lang w:val="en-US" w:eastAsia="zh-CN" w:bidi="ar-SA"/>
        </w:rPr>
        <w:t>日内来院办理诉讼费用退费手续。</w:t>
      </w:r>
      <w:r>
        <w:rPr>
          <w:rFonts w:ascii="宋体" w:eastAsia="宋体" w:hAnsi="宋体" w:cs="宋体"/>
          <w:color w:val="000000"/>
          <w:sz w:val="27"/>
          <w:szCs w:val="27"/>
          <w:lang w:val="en-US" w:eastAsia="zh-CN" w:bidi="ar-SA"/>
        </w:rPr>
        <w:br/>
        <w:t>4.</w:t>
      </w:r>
      <w:r>
        <w:rPr>
          <w:rFonts w:ascii="宋体" w:eastAsia="宋体" w:hAnsi="宋体" w:cs="宋体"/>
          <w:color w:val="000000"/>
          <w:sz w:val="27"/>
          <w:szCs w:val="27"/>
          <w:lang w:val="en-US" w:eastAsia="zh-CN" w:bidi="ar-SA"/>
        </w:rPr>
        <w:t>根据法律、司法解释的规定，发生</w:t>
      </w:r>
      <w:r>
        <w:rPr>
          <w:rFonts w:ascii="宋体" w:eastAsia="宋体" w:hAnsi="宋体" w:cs="宋体"/>
          <w:color w:val="000000"/>
          <w:sz w:val="27"/>
          <w:szCs w:val="27"/>
          <w:lang w:val="en-US" w:eastAsia="zh-CN" w:bidi="ar-SA"/>
        </w:rPr>
        <w:t>法律效力的民事判决、裁定、调解书，当事人必须履行。被执行人未按法律文书指定的期间履行给付金钱义务的，应当加倍支付迟延履行期间的债务利息，未按法律文书指定的期间履行其他义务的，应当支付迟延履行金。</w:t>
      </w:r>
      <w:r>
        <w:rPr>
          <w:rFonts w:ascii="宋体" w:eastAsia="宋体" w:hAnsi="宋体" w:cs="宋体"/>
          <w:color w:val="000000"/>
          <w:sz w:val="27"/>
          <w:szCs w:val="27"/>
          <w:lang w:val="en-US" w:eastAsia="zh-CN" w:bidi="ar-SA"/>
        </w:rPr>
        <w:br/>
        <w:t>5.</w:t>
      </w:r>
      <w:r>
        <w:rPr>
          <w:rFonts w:ascii="宋体" w:eastAsia="宋体" w:hAnsi="宋体" w:cs="宋体"/>
          <w:color w:val="000000"/>
          <w:sz w:val="27"/>
          <w:szCs w:val="27"/>
          <w:lang w:val="en-US" w:eastAsia="zh-CN" w:bidi="ar-SA"/>
        </w:rPr>
        <w:t>当事人一方拒绝履行的，对方当事人可以在履行期限届满后的二年内（分期履行的，从规定的每次履行期间的最后一日起计算）向第一审人民法院申请执行。逾期申请的，人民法院不予受理。</w:t>
      </w:r>
      <w:r>
        <w:rPr>
          <w:rFonts w:ascii="宋体" w:eastAsia="宋体" w:hAnsi="宋体" w:cs="宋体"/>
          <w:color w:val="000000"/>
          <w:sz w:val="27"/>
          <w:szCs w:val="27"/>
          <w:lang w:val="en-US" w:eastAsia="zh-CN" w:bidi="ar-SA"/>
        </w:rPr>
        <w:br/>
        <w:t>6.</w:t>
      </w:r>
      <w:r>
        <w:rPr>
          <w:rFonts w:ascii="宋体" w:eastAsia="宋体" w:hAnsi="宋体" w:cs="宋体"/>
          <w:color w:val="000000"/>
          <w:sz w:val="27"/>
          <w:szCs w:val="27"/>
          <w:lang w:val="en-US" w:eastAsia="zh-CN" w:bidi="ar-SA"/>
        </w:rPr>
        <w:t>拒不履行人民法院已经发生法律效力的判决、裁定的；隐藏、转移、变卖、毁损已被查封、扣押的财产，或者已被清点并责令其保管的财产，转移已被冻结的</w:t>
      </w:r>
      <w:r>
        <w:rPr>
          <w:rFonts w:ascii="宋体" w:eastAsia="宋体" w:hAnsi="宋体" w:cs="宋体"/>
          <w:color w:val="000000"/>
          <w:sz w:val="27"/>
          <w:szCs w:val="27"/>
          <w:lang w:val="en-US" w:eastAsia="zh-CN" w:bidi="ar-SA"/>
        </w:rPr>
        <w:t>财产的；以暴力、威胁或者其他方法阻碍司法工作人员执行职务的，人民法院可以根据情节轻重予以罚款、拘留；构成犯罪的，依法追究刑事责任。</w:t>
      </w:r>
      <w:r>
        <w:rPr>
          <w:rFonts w:ascii="宋体" w:eastAsia="宋体" w:hAnsi="宋体" w:cs="宋体"/>
          <w:color w:val="000000"/>
          <w:sz w:val="27"/>
          <w:szCs w:val="27"/>
          <w:lang w:val="en-US" w:eastAsia="zh-CN" w:bidi="ar-SA"/>
        </w:rPr>
        <w:t xml:space="preserve"> </w:t>
      </w:r>
    </w:p>
    <w:p w14:paraId="2D29471E" w14:textId="77777777" w:rsidR="00000000" w:rsidRDefault="00B2106E">
      <w:pPr>
        <w:ind w:left="375" w:right="375"/>
        <w:rPr>
          <w:rFonts w:ascii="Arial" w:eastAsia="Arial" w:hAnsi="Arial" w:cs="Arial"/>
          <w:lang w:val="en-US" w:eastAsia="zh-CN" w:bidi="ar-SA"/>
        </w:rPr>
      </w:pPr>
      <w:r>
        <w:rPr>
          <w:rFonts w:ascii="Arial" w:eastAsia="Arial" w:hAnsi="Arial" w:cs="Arial"/>
          <w:lang w:val="en-US" w:eastAsia="zh-CN" w:bidi="ar-SA"/>
        </w:rPr>
        <w:br/>
      </w:r>
    </w:p>
    <w:p w14:paraId="239A0FF5" w14:textId="77777777" w:rsidR="00000000" w:rsidRDefault="00A77B3E">
      <w:pPr>
        <w:spacing w:line="630" w:lineRule="atLeast"/>
        <w:rPr>
          <w:rFonts w:eastAsia="Times New Roman"/>
          <w:sz w:val="26"/>
          <w:szCs w:val="26"/>
          <w:lang w:val="en-US" w:eastAsia="zh-CN" w:bidi="ar-SA"/>
        </w:rPr>
      </w:pPr>
      <w:r>
        <w:br w:type="page"/>
      </w:r>
      <w:r w:rsidR="00B2106E">
        <w:rPr>
          <w:rFonts w:eastAsia="Times New Roman"/>
          <w:sz w:val="26"/>
          <w:szCs w:val="26"/>
          <w:lang w:val="en-US" w:eastAsia="zh-CN" w:bidi="ar-SA"/>
        </w:rPr>
        <w:t>©北大法宝：（</w:t>
      </w:r>
      <w:hyperlink r:id="rId17" w:history="1">
        <w:r w:rsidR="00B2106E">
          <w:rPr>
            <w:rFonts w:eastAsia="Times New Roman"/>
            <w:color w:val="218FC4"/>
            <w:sz w:val="26"/>
            <w:szCs w:val="26"/>
            <w:u w:val="single" w:color="218FC4"/>
            <w:lang w:val="en-US" w:eastAsia="zh-CN" w:bidi="ar-SA"/>
          </w:rPr>
          <w:t>www.pkulaw.com</w:t>
        </w:r>
      </w:hyperlink>
      <w:r w:rsidR="00B2106E">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18" w:tgtFrame="_blank" w:history="1">
        <w:r w:rsidR="00B2106E">
          <w:rPr>
            <w:rFonts w:eastAsia="Times New Roman"/>
            <w:color w:val="218FC4"/>
            <w:sz w:val="26"/>
            <w:szCs w:val="26"/>
            <w:u w:val="single" w:color="218FC4"/>
            <w:lang w:val="en-US" w:eastAsia="zh-CN" w:bidi="ar-SA"/>
          </w:rPr>
          <w:t>产品和服务</w:t>
        </w:r>
      </w:hyperlink>
      <w:r w:rsidR="00B2106E">
        <w:rPr>
          <w:rFonts w:eastAsia="Times New Roman"/>
          <w:sz w:val="26"/>
          <w:szCs w:val="26"/>
          <w:lang w:val="en-US" w:eastAsia="zh-CN" w:bidi="ar-SA"/>
        </w:rPr>
        <w:t>。</w:t>
      </w:r>
      <w:r w:rsidR="00B2106E">
        <w:rPr>
          <w:rFonts w:eastAsia="Times New Roman"/>
          <w:sz w:val="26"/>
          <w:szCs w:val="26"/>
          <w:lang w:val="en-US" w:eastAsia="zh-CN" w:bidi="ar-SA"/>
        </w:rPr>
        <w:br/>
      </w:r>
      <w:hyperlink r:id="rId19" w:tgtFrame="_blank" w:history="1">
        <w:r w:rsidR="00B2106E">
          <w:rPr>
            <w:rFonts w:eastAsia="Times New Roman"/>
            <w:color w:val="218FC4"/>
            <w:sz w:val="26"/>
            <w:szCs w:val="26"/>
            <w:u w:val="single" w:color="218FC4"/>
            <w:lang w:val="en-US" w:eastAsia="zh-CN" w:bidi="ar-SA"/>
          </w:rPr>
          <w:t>法宝快讯： 如何快速找到您需要的检索结果？ 法宝 V6 有何新特色？</w:t>
        </w:r>
      </w:hyperlink>
    </w:p>
    <w:p w14:paraId="6862FD79" w14:textId="77777777" w:rsidR="00000000" w:rsidRDefault="00B2106E">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0" o:title=""/>
          </v:shape>
        </w:pict>
      </w:r>
    </w:p>
    <w:p w14:paraId="38A2F222" w14:textId="77777777" w:rsidR="00000000" w:rsidRDefault="00B2106E">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5E2FE0C2" w14:textId="77777777" w:rsidR="00000000" w:rsidRDefault="00B2106E">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1" w:tgtFrame="_blank" w:history="1">
        <w:r>
          <w:rPr>
            <w:rFonts w:eastAsia="Times New Roman"/>
            <w:color w:val="000000"/>
            <w:sz w:val="26"/>
            <w:szCs w:val="26"/>
            <w:u w:val="single" w:color="000000"/>
            <w:lang w:val="en-US" w:eastAsia="zh-CN" w:bidi="ar-SA"/>
          </w:rPr>
          <w:t>https://www.pkulaw.co</w:t>
        </w:r>
        <w:r>
          <w:rPr>
            <w:rFonts w:eastAsia="Times New Roman"/>
            <w:color w:val="000000"/>
            <w:sz w:val="26"/>
            <w:szCs w:val="26"/>
            <w:u w:val="single" w:color="000000"/>
            <w:lang w:val="en-US" w:eastAsia="zh-CN" w:bidi="ar-SA"/>
          </w:rPr>
          <w:t xml:space="preserve">m/pfnl/a25051f3312b07f379b8e12bafd478e892e3b10eabb2597dbdfb.html </w:t>
        </w:r>
      </w:hyperlink>
    </w:p>
    <w:p w14:paraId="6DCE6D95" w14:textId="77777777" w:rsidR="00A77B3E" w:rsidRDefault="00A77B3E"/>
    <w:sectPr w:rsidR="00A77B3E">
      <w:headerReference w:type="default" r:id="rId22"/>
      <w:footerReference w:type="default" r:id="rId23"/>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6C2DD" w14:textId="77777777" w:rsidR="00000000" w:rsidRDefault="00B2106E">
      <w:r>
        <w:separator/>
      </w:r>
    </w:p>
  </w:endnote>
  <w:endnote w:type="continuationSeparator" w:id="0">
    <w:p w14:paraId="66E5DEB8" w14:textId="77777777" w:rsidR="00000000" w:rsidRDefault="00B21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FD9C203" w14:textId="77777777">
      <w:trPr>
        <w:tblCellSpacing w:w="15" w:type="dxa"/>
      </w:trPr>
      <w:tc>
        <w:tcPr>
          <w:tcW w:w="1530" w:type="dxa"/>
          <w:tcMar>
            <w:top w:w="15" w:type="dxa"/>
            <w:left w:w="15" w:type="dxa"/>
            <w:bottom w:w="15" w:type="dxa"/>
            <w:right w:w="15" w:type="dxa"/>
          </w:tcMar>
          <w:vAlign w:val="center"/>
          <w:hideMark/>
        </w:tcPr>
        <w:p w14:paraId="017F9B18" w14:textId="77777777" w:rsidR="00000000" w:rsidRDefault="00B2106E">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176D86D1" w14:textId="77777777" w:rsidR="00000000" w:rsidRDefault="00B2106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3FF4DA60" w14:textId="77777777" w:rsidR="00000000" w:rsidRDefault="00B2106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D7AE" w14:textId="77777777" w:rsidR="00000000" w:rsidRDefault="00B2106E">
      <w:r>
        <w:separator/>
      </w:r>
    </w:p>
  </w:footnote>
  <w:footnote w:type="continuationSeparator" w:id="0">
    <w:p w14:paraId="11F7DAF4" w14:textId="77777777" w:rsidR="00000000" w:rsidRDefault="00B21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77826FDF" w14:textId="77777777">
      <w:trPr>
        <w:tblCellSpacing w:w="15" w:type="dxa"/>
      </w:trPr>
      <w:tc>
        <w:tcPr>
          <w:tcW w:w="0" w:type="auto"/>
          <w:tcMar>
            <w:top w:w="15" w:type="dxa"/>
            <w:left w:w="15" w:type="dxa"/>
            <w:bottom w:w="15" w:type="dxa"/>
            <w:right w:w="15" w:type="dxa"/>
          </w:tcMar>
          <w:vAlign w:val="center"/>
          <w:hideMark/>
        </w:tcPr>
        <w:p w14:paraId="1DBAAD28" w14:textId="77777777" w:rsidR="00000000" w:rsidRDefault="00B2106E">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1D91A562" w14:textId="77777777" w:rsidR="00000000" w:rsidRDefault="00B2106E">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CLI.C.23599251</w:t>
          </w:r>
        </w:p>
      </w:tc>
    </w:tr>
  </w:tbl>
  <w:p w14:paraId="620AC4F5" w14:textId="77777777" w:rsidR="00000000" w:rsidRDefault="00B2106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A77B3E"/>
    <w:rsid w:val="00B2106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A4F15B"/>
  <w15:chartTrackingRefBased/>
  <w15:docId w15:val="{BD432C93-1AF2-4C04-840D-F557A6667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navtiao">
    <w:name w:val="fulltext-wrap_navtiao"/>
    <w:basedOn w:val="a0"/>
    <w:rPr>
      <w:b/>
      <w:bCs/>
    </w:rPr>
  </w:style>
  <w:style w:type="character" w:customStyle="1" w:styleId="fulltext-wrapfulltexta">
    <w:name w:val="fulltext-wrap_fulltext_a"/>
    <w:basedOn w:val="a0"/>
    <w:rPr>
      <w:color w:val="218FC4"/>
    </w:rPr>
  </w:style>
  <w:style w:type="paragraph" w:styleId="a3">
    <w:name w:val="header"/>
    <w:basedOn w:val="a"/>
    <w:link w:val="a4"/>
    <w:rsid w:val="00B210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B2106E"/>
    <w:rPr>
      <w:sz w:val="18"/>
      <w:szCs w:val="18"/>
    </w:rPr>
  </w:style>
  <w:style w:type="paragraph" w:styleId="a5">
    <w:name w:val="footer"/>
    <w:basedOn w:val="a"/>
    <w:link w:val="a6"/>
    <w:rsid w:val="00B2106E"/>
    <w:pPr>
      <w:tabs>
        <w:tab w:val="center" w:pos="4153"/>
        <w:tab w:val="right" w:pos="8306"/>
      </w:tabs>
      <w:snapToGrid w:val="0"/>
    </w:pPr>
    <w:rPr>
      <w:sz w:val="18"/>
      <w:szCs w:val="18"/>
    </w:rPr>
  </w:style>
  <w:style w:type="character" w:customStyle="1" w:styleId="a6">
    <w:name w:val="页脚 字符"/>
    <w:basedOn w:val="a0"/>
    <w:link w:val="a5"/>
    <w:rsid w:val="00B210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68957aaf4c3a793dbdfb.html?way=textSlc" TargetMode="External"/><Relationship Id="rId18" Type="http://schemas.openxmlformats.org/officeDocument/2006/relationships/hyperlink" Target="http://www.pkulaw.net/" TargetMode="External"/><Relationship Id="rId3" Type="http://schemas.openxmlformats.org/officeDocument/2006/relationships/settings" Target="settings.xml"/><Relationship Id="rId21" Type="http://schemas.openxmlformats.org/officeDocument/2006/relationships/hyperlink" Target="https://www.pkulaw.com/pfnl/a25051f3312b07f379b8e12bafd478e892e3b10eabb2597dbdfb.html" TargetMode="External"/><Relationship Id="rId7" Type="http://schemas.openxmlformats.org/officeDocument/2006/relationships/hyperlink" Target="https://www.pkulaw.com/chl/2367b1767194112cbdfb.html?way=textSlc" TargetMode="External"/><Relationship Id="rId12" Type="http://schemas.openxmlformats.org/officeDocument/2006/relationships/hyperlink" Target="https://www.pkulaw.com/chl/68957aaf4c3a793dbdfb.html?way=textSlc" TargetMode="External"/><Relationship Id="rId17" Type="http://schemas.openxmlformats.org/officeDocument/2006/relationships/hyperlink" Target="https://www.pkula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kulaw.com/chl/2367b1767194112cbdfb.html?way=textSlc" TargetMode="External"/><Relationship Id="rId20"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68957aaf4c3a793dbdfb.html?way=textSlc"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pkulaw.com/chl/68957aaf4c3a793dbdfb.html?way=textSlc" TargetMode="External"/><Relationship Id="rId23" Type="http://schemas.openxmlformats.org/officeDocument/2006/relationships/footer" Target="footer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www.pkulaw.com/helps/69.html"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2024-05-11T15:37:00Z</dcterms:created>
  <dcterms:modified xsi:type="dcterms:W3CDTF">2024-05-11T15:37:00Z</dcterms:modified>
</cp:coreProperties>
</file>