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F45A" w14:textId="77777777" w:rsidR="00000000" w:rsidRDefault="00315BF6">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孙晓伟诉郑文轩民间借贷纠纷案</w:t>
      </w:r>
    </w:p>
    <w:p w14:paraId="4D0DFB95" w14:textId="77777777" w:rsidR="00000000" w:rsidRDefault="00315BF6">
      <w:pPr>
        <w:ind w:left="375" w:right="375"/>
        <w:rPr>
          <w:rFonts w:ascii="Arial" w:eastAsia="Arial" w:hAnsi="Arial" w:cs="Arial"/>
          <w:lang w:val="en-US" w:eastAsia="zh-CN" w:bidi="ar-SA"/>
        </w:rPr>
      </w:pPr>
      <w:r>
        <w:rPr>
          <w:rFonts w:ascii="Arial" w:eastAsia="Arial" w:hAnsi="Arial" w:cs="Arial"/>
          <w:lang w:val="en-US" w:eastAsia="zh-CN" w:bidi="ar-SA"/>
        </w:rPr>
        <w:br/>
      </w:r>
    </w:p>
    <w:p w14:paraId="2C7969A2" w14:textId="77777777" w:rsidR="00000000" w:rsidRDefault="00315BF6">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孙晓伟诉郑文轩民间借贷纠纷案</w:t>
      </w:r>
    </w:p>
    <w:p w14:paraId="48D631E9" w14:textId="77777777" w:rsidR="00000000" w:rsidRDefault="00315BF6">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浙江省温州市瓯海区人民法院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5C458B1D" w14:textId="77777777" w:rsidR="00000000" w:rsidRDefault="00315BF6">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(2017)</w:t>
      </w:r>
      <w:r>
        <w:rPr>
          <w:rStyle w:val="span"/>
          <w:rFonts w:ascii="宋体" w:eastAsia="宋体" w:hAnsi="宋体" w:cs="宋体"/>
          <w:color w:val="000000"/>
          <w:sz w:val="27"/>
          <w:szCs w:val="27"/>
          <w:lang w:val="en-US" w:eastAsia="zh-CN" w:bidi="ar-SA"/>
        </w:rPr>
        <w:t>浙</w:t>
      </w:r>
      <w:r>
        <w:rPr>
          <w:rStyle w:val="span"/>
          <w:rFonts w:ascii="宋体" w:eastAsia="宋体" w:hAnsi="宋体" w:cs="宋体"/>
          <w:color w:val="000000"/>
          <w:sz w:val="27"/>
          <w:szCs w:val="27"/>
          <w:lang w:val="en-US" w:eastAsia="zh-CN" w:bidi="ar-SA"/>
        </w:rPr>
        <w:t>0304</w:t>
      </w:r>
      <w:r>
        <w:rPr>
          <w:rStyle w:val="span"/>
          <w:rFonts w:ascii="宋体" w:eastAsia="宋体" w:hAnsi="宋体" w:cs="宋体"/>
          <w:color w:val="000000"/>
          <w:sz w:val="27"/>
          <w:szCs w:val="27"/>
          <w:lang w:val="en-US" w:eastAsia="zh-CN" w:bidi="ar-SA"/>
        </w:rPr>
        <w:t>民初</w:t>
      </w:r>
      <w:r>
        <w:rPr>
          <w:rStyle w:val="span"/>
          <w:rFonts w:ascii="宋体" w:eastAsia="宋体" w:hAnsi="宋体" w:cs="宋体"/>
          <w:color w:val="000000"/>
          <w:sz w:val="27"/>
          <w:szCs w:val="27"/>
          <w:lang w:val="en-US" w:eastAsia="zh-CN" w:bidi="ar-SA"/>
        </w:rPr>
        <w:t>5184</w:t>
      </w:r>
      <w:r>
        <w:rPr>
          <w:rStyle w:val="span"/>
          <w:rFonts w:ascii="宋体" w:eastAsia="宋体" w:hAnsi="宋体" w:cs="宋体"/>
          <w:color w:val="000000"/>
          <w:sz w:val="27"/>
          <w:szCs w:val="27"/>
          <w:lang w:val="en-US" w:eastAsia="zh-CN" w:bidi="ar-SA"/>
        </w:rPr>
        <w:t>号</w:t>
      </w:r>
    </w:p>
    <w:p w14:paraId="72F6BEB5" w14:textId="77777777" w:rsidR="00000000" w:rsidRDefault="00315BF6">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原告：孙晓伟。</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被告：郑文轩。</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原告孙晓伟与被告郑文轩民间借贷纠纷一案，原告于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日向本院提起诉讼，请求判令被告郑文轩偿还原告借款</w:t>
      </w:r>
      <w:r>
        <w:rPr>
          <w:rFonts w:ascii="宋体" w:eastAsia="宋体" w:hAnsi="宋体" w:cs="宋体"/>
          <w:color w:val="000000"/>
          <w:sz w:val="27"/>
          <w:szCs w:val="27"/>
          <w:lang w:val="en-US" w:eastAsia="zh-CN" w:bidi="ar-SA"/>
        </w:rPr>
        <w:t>8000</w:t>
      </w:r>
      <w:r>
        <w:rPr>
          <w:rFonts w:ascii="宋体" w:eastAsia="宋体" w:hAnsi="宋体" w:cs="宋体"/>
          <w:color w:val="000000"/>
          <w:sz w:val="27"/>
          <w:szCs w:val="27"/>
          <w:lang w:val="en-US" w:eastAsia="zh-CN" w:bidi="ar-SA"/>
        </w:rPr>
        <w:t>元及利息</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按银行同行贷款利率四倍计算利息至被告还清本息之日起，从</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日起计算至判决确定的履行之日止</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。在审理过程中，原告撤回对利息部分的诉讼请求。</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本院受理后，依法适用普通程序，</w:t>
      </w:r>
      <w:r>
        <w:rPr>
          <w:rFonts w:ascii="宋体" w:eastAsia="宋体" w:hAnsi="宋体" w:cs="宋体"/>
          <w:color w:val="000000"/>
          <w:sz w:val="27"/>
          <w:szCs w:val="27"/>
          <w:lang w:val="en-US" w:eastAsia="zh-CN" w:bidi="ar-SA"/>
        </w:rPr>
        <w:t>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28</w:t>
      </w:r>
      <w:r>
        <w:rPr>
          <w:rFonts w:ascii="宋体" w:eastAsia="宋体" w:hAnsi="宋体" w:cs="宋体"/>
          <w:color w:val="000000"/>
          <w:sz w:val="27"/>
          <w:szCs w:val="27"/>
          <w:lang w:val="en-US" w:eastAsia="zh-CN" w:bidi="ar-SA"/>
        </w:rPr>
        <w:t>日公开开庭进行了审理并当庭宣告判决。</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1" w:name="anchor-2"/>
      <w:bookmarkEnd w:id="1"/>
      <w:r>
        <w:rPr>
          <w:rFonts w:ascii="宋体" w:eastAsia="宋体" w:hAnsi="宋体" w:cs="宋体"/>
          <w:color w:val="000000"/>
          <w:sz w:val="27"/>
          <w:szCs w:val="27"/>
          <w:lang w:val="en-US" w:eastAsia="zh-CN" w:bidi="ar-SA"/>
        </w:rPr>
        <w:t xml:space="preserve">　　本院经审理认定：</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17</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18</w:t>
      </w:r>
      <w:r>
        <w:rPr>
          <w:rFonts w:ascii="宋体" w:eastAsia="宋体" w:hAnsi="宋体" w:cs="宋体"/>
          <w:color w:val="000000"/>
          <w:sz w:val="27"/>
          <w:szCs w:val="27"/>
          <w:lang w:val="en-US" w:eastAsia="zh-CN" w:bidi="ar-SA"/>
        </w:rPr>
        <w:t>日，原被告通过实名认证的方式在</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借贷宝</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网络平台达成</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笔借款协议，协议约定每笔借款金额均为</w:t>
      </w:r>
      <w:r>
        <w:rPr>
          <w:rFonts w:ascii="宋体" w:eastAsia="宋体" w:hAnsi="宋体" w:cs="宋体"/>
          <w:color w:val="000000"/>
          <w:sz w:val="27"/>
          <w:szCs w:val="27"/>
          <w:lang w:val="en-US" w:eastAsia="zh-CN" w:bidi="ar-SA"/>
        </w:rPr>
        <w:t>4000</w:t>
      </w:r>
      <w:r>
        <w:rPr>
          <w:rFonts w:ascii="宋体" w:eastAsia="宋体" w:hAnsi="宋体" w:cs="宋体"/>
          <w:color w:val="000000"/>
          <w:sz w:val="27"/>
          <w:szCs w:val="27"/>
          <w:lang w:val="en-US" w:eastAsia="zh-CN" w:bidi="ar-SA"/>
        </w:rPr>
        <w:t>元，年利率为</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，借款期限均为</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日，借款人逾期还款，自逾期之日起，则按照年利率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计收利息，直至借款人清偿全部借款本息为止。原告通过该网络平台向被告支付了上述两笔借款，借款到期后，被告仅偿还利息</w:t>
      </w:r>
      <w:r>
        <w:rPr>
          <w:rFonts w:ascii="宋体" w:eastAsia="宋体" w:hAnsi="宋体" w:cs="宋体"/>
          <w:color w:val="000000"/>
          <w:sz w:val="27"/>
          <w:szCs w:val="27"/>
          <w:lang w:val="en-US" w:eastAsia="zh-CN" w:bidi="ar-SA"/>
        </w:rPr>
        <w:t>2.16</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本院依照《</w:t>
      </w:r>
      <w:hyperlink r:id="rId7"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8"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w:t>
      </w:r>
      <w:hyperlink r:id="rId9"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0" w:anchor="tiao_144" w:history="1">
        <w:r>
          <w:rPr>
            <w:rStyle w:val="fulltext-wrapfulltexta"/>
            <w:rFonts w:ascii="宋体" w:eastAsia="宋体" w:hAnsi="宋体" w:cs="宋体"/>
            <w:sz w:val="27"/>
            <w:szCs w:val="27"/>
            <w:lang w:val="en-US" w:eastAsia="zh-CN" w:bidi="ar-SA"/>
          </w:rPr>
          <w:t>一百四十四条</w:t>
        </w:r>
      </w:hyperlink>
      <w:r>
        <w:rPr>
          <w:rFonts w:ascii="宋体" w:eastAsia="宋体" w:hAnsi="宋体" w:cs="宋体"/>
          <w:color w:val="000000"/>
          <w:sz w:val="27"/>
          <w:szCs w:val="27"/>
          <w:lang w:val="en-US" w:eastAsia="zh-CN" w:bidi="ar-SA"/>
        </w:rPr>
        <w:t>之规定，判决如下：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2" w:name="anchor-1"/>
      <w:bookmarkEnd w:id="2"/>
      <w:r>
        <w:rPr>
          <w:rFonts w:ascii="宋体" w:eastAsia="宋体" w:hAnsi="宋体" w:cs="宋体"/>
          <w:color w:val="000000"/>
          <w:sz w:val="27"/>
          <w:szCs w:val="27"/>
          <w:lang w:val="en-US" w:eastAsia="zh-CN" w:bidi="ar-SA"/>
        </w:rPr>
        <w:t xml:space="preserve">　　被告郑文轩应于本判决生效之日起十日内偿还原告孙晓伟借款</w:t>
      </w:r>
      <w:r>
        <w:rPr>
          <w:rFonts w:ascii="宋体" w:eastAsia="宋体" w:hAnsi="宋体" w:cs="宋体"/>
          <w:color w:val="000000"/>
          <w:sz w:val="27"/>
          <w:szCs w:val="27"/>
          <w:lang w:val="en-US" w:eastAsia="zh-CN" w:bidi="ar-SA"/>
        </w:rPr>
        <w:t>8000</w:t>
      </w:r>
      <w:r>
        <w:rPr>
          <w:rFonts w:ascii="宋体" w:eastAsia="宋体" w:hAnsi="宋体" w:cs="宋体"/>
          <w:color w:val="000000"/>
          <w:sz w:val="27"/>
          <w:szCs w:val="27"/>
          <w:lang w:val="en-US" w:eastAsia="zh-CN" w:bidi="ar-SA"/>
        </w:rPr>
        <w:lastRenderedPageBreak/>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如果未按本判决指定的期间履行给付金钱义务，应当依照《</w:t>
      </w:r>
      <w:hyperlink r:id="rId11"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2" w:anchor="tiao_253" w:history="1">
        <w:r>
          <w:rPr>
            <w:rStyle w:val="fulltext-wrapfulltexta"/>
            <w:rFonts w:ascii="宋体" w:eastAsia="宋体" w:hAnsi="宋体" w:cs="宋体"/>
            <w:sz w:val="27"/>
            <w:szCs w:val="27"/>
            <w:lang w:val="en-US" w:eastAsia="zh-CN" w:bidi="ar-SA"/>
          </w:rPr>
          <w:t>二百五十三条</w:t>
        </w:r>
      </w:hyperlink>
      <w:r>
        <w:rPr>
          <w:rFonts w:ascii="宋体" w:eastAsia="宋体" w:hAnsi="宋体" w:cs="宋体"/>
          <w:color w:val="000000"/>
          <w:sz w:val="27"/>
          <w:szCs w:val="27"/>
          <w:lang w:val="en-US" w:eastAsia="zh-CN" w:bidi="ar-SA"/>
        </w:rPr>
        <w:t>的规定，加倍支付迟延履行期间的债务利息。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本案受理费</w:t>
      </w:r>
      <w:r>
        <w:rPr>
          <w:rFonts w:ascii="宋体" w:eastAsia="宋体" w:hAnsi="宋体" w:cs="宋体"/>
          <w:color w:val="000000"/>
          <w:sz w:val="27"/>
          <w:szCs w:val="27"/>
          <w:lang w:val="en-US" w:eastAsia="zh-CN" w:bidi="ar-SA"/>
        </w:rPr>
        <w:t>50</w:t>
      </w:r>
      <w:r>
        <w:rPr>
          <w:rFonts w:ascii="宋体" w:eastAsia="宋体" w:hAnsi="宋体" w:cs="宋体"/>
          <w:color w:val="000000"/>
          <w:sz w:val="27"/>
          <w:szCs w:val="27"/>
          <w:lang w:val="en-US" w:eastAsia="zh-CN" w:bidi="ar-SA"/>
        </w:rPr>
        <w:t>元，由被告郑文轩负担。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如不服本判决，可在判决书送达之日起十五日内，向本院递交上诉状，并按对方当事人的人数提出副本，上诉于浙江省温州市中级人民法院。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3" w:name="anchor-3"/>
      <w:bookmarkEnd w:id="3"/>
    </w:p>
    <w:p w14:paraId="7EFF2A86" w14:textId="77777777" w:rsidR="00000000" w:rsidRDefault="00315BF6">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　判　长　　王群英</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翁瑞育</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w:t>
      </w:r>
      <w:r>
        <w:rPr>
          <w:rFonts w:ascii="宋体" w:eastAsia="宋体" w:hAnsi="宋体" w:cs="宋体"/>
          <w:color w:val="000000"/>
          <w:sz w:val="27"/>
          <w:szCs w:val="27"/>
          <w:lang w:val="en-US" w:eastAsia="zh-CN" w:bidi="ar-SA"/>
        </w:rPr>
        <w:t>陪审员　　王崇林</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二〇一七年九月二十八日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代书　记员　　陈蓉璇</w:t>
      </w:r>
    </w:p>
    <w:p w14:paraId="1E0F51CA" w14:textId="77777777" w:rsidR="00000000" w:rsidRDefault="00315BF6">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4" w:name="anchor-4"/>
      <w:bookmarkEnd w:id="4"/>
      <w:r>
        <w:rPr>
          <w:rFonts w:ascii="宋体" w:eastAsia="宋体" w:hAnsi="宋体" w:cs="宋体"/>
          <w:color w:val="000000"/>
          <w:sz w:val="27"/>
          <w:szCs w:val="27"/>
          <w:lang w:val="en-US" w:eastAsia="zh-CN" w:bidi="ar-SA"/>
        </w:rPr>
        <w:t>附告：判决适用的法律条文及当事人应知的相关事项</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一、判决适用的法律条文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第二百零六条借款人应当按照约定的期限返还借款。对借款期限没有约定或者约定不明确，依照本法第六十一条的规定仍不能确定的，借款人可以随时返还；贷款人可以催告借款人在合理期限内返还。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第一百四十四条被告经传票传唤，无正当理由拒不到庭的，或者未经法庭许可中途退庭的，可以缺席判决。</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二、当事人应知的相关事项</w:t>
      </w:r>
      <w:r>
        <w:rPr>
          <w:rFonts w:ascii="宋体" w:eastAsia="宋体" w:hAnsi="宋体" w:cs="宋体"/>
          <w:color w:val="000000"/>
          <w:sz w:val="27"/>
          <w:szCs w:val="27"/>
          <w:lang w:val="en-US" w:eastAsia="zh-CN" w:bidi="ar-SA"/>
        </w:rPr>
        <w:br/>
        <w:t>1.</w:t>
      </w:r>
      <w:r>
        <w:rPr>
          <w:rFonts w:ascii="宋体" w:eastAsia="宋体" w:hAnsi="宋体" w:cs="宋体"/>
          <w:color w:val="000000"/>
          <w:sz w:val="27"/>
          <w:szCs w:val="27"/>
          <w:lang w:val="en-US" w:eastAsia="zh-CN" w:bidi="ar-SA"/>
        </w:rPr>
        <w:t>上诉人应按一审案件受理费标准预交上诉案件受理费</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对财产案件提</w:t>
      </w:r>
      <w:r>
        <w:rPr>
          <w:rFonts w:ascii="宋体" w:eastAsia="宋体" w:hAnsi="宋体" w:cs="宋体"/>
          <w:color w:val="000000"/>
          <w:sz w:val="27"/>
          <w:szCs w:val="27"/>
          <w:lang w:val="en-US" w:eastAsia="zh-CN" w:bidi="ar-SA"/>
        </w:rPr>
        <w:t>起上诉的，按照不服一审判决部分的上诉请求数额交纳案件受理费</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，在向人民法院提交上诉状时预交到温州市中级人民法院。</w:t>
      </w:r>
      <w:r>
        <w:rPr>
          <w:rFonts w:ascii="宋体" w:eastAsia="宋体" w:hAnsi="宋体" w:cs="宋体"/>
          <w:color w:val="000000"/>
          <w:sz w:val="27"/>
          <w:szCs w:val="27"/>
          <w:lang w:val="en-US" w:eastAsia="zh-CN" w:bidi="ar-SA"/>
        </w:rPr>
        <w:br/>
        <w:t>2.</w:t>
      </w:r>
      <w:r>
        <w:rPr>
          <w:rFonts w:ascii="宋体" w:eastAsia="宋体" w:hAnsi="宋体" w:cs="宋体"/>
          <w:color w:val="000000"/>
          <w:sz w:val="27"/>
          <w:szCs w:val="27"/>
          <w:lang w:val="en-US" w:eastAsia="zh-CN" w:bidi="ar-SA"/>
        </w:rPr>
        <w:t>当事人一般应自案件裁判文书生效后</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日内向人民法院领取裁判文书生效通知书。</w:t>
      </w:r>
      <w:r>
        <w:rPr>
          <w:rFonts w:ascii="宋体" w:eastAsia="宋体" w:hAnsi="宋体" w:cs="宋体"/>
          <w:color w:val="000000"/>
          <w:sz w:val="27"/>
          <w:szCs w:val="27"/>
          <w:lang w:val="en-US" w:eastAsia="zh-CN" w:bidi="ar-SA"/>
        </w:rPr>
        <w:br/>
        <w:t>3.</w:t>
      </w:r>
      <w:r>
        <w:rPr>
          <w:rFonts w:ascii="宋体" w:eastAsia="宋体" w:hAnsi="宋体" w:cs="宋体"/>
          <w:color w:val="000000"/>
          <w:sz w:val="27"/>
          <w:szCs w:val="27"/>
          <w:lang w:val="en-US" w:eastAsia="zh-CN" w:bidi="ar-SA"/>
        </w:rPr>
        <w:t>需要退还诉讼费用的，当事人应在裁判文书生效后</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日内来院办理诉讼费用退费手续。</w:t>
      </w:r>
      <w:r>
        <w:rPr>
          <w:rFonts w:ascii="宋体" w:eastAsia="宋体" w:hAnsi="宋体" w:cs="宋体"/>
          <w:color w:val="000000"/>
          <w:sz w:val="27"/>
          <w:szCs w:val="27"/>
          <w:lang w:val="en-US" w:eastAsia="zh-CN" w:bidi="ar-SA"/>
        </w:rPr>
        <w:br/>
        <w:t>4.</w:t>
      </w:r>
      <w:r>
        <w:rPr>
          <w:rFonts w:ascii="宋体" w:eastAsia="宋体" w:hAnsi="宋体" w:cs="宋体"/>
          <w:color w:val="000000"/>
          <w:sz w:val="27"/>
          <w:szCs w:val="27"/>
          <w:lang w:val="en-US" w:eastAsia="zh-CN" w:bidi="ar-SA"/>
        </w:rPr>
        <w:t>义务人未按期履行生效法律文书确定内容的，权利人应在法律文书生效之日起或法律文书确定的履行期限届满之日起两年内向法院申请执行。</w:t>
      </w:r>
      <w:r>
        <w:rPr>
          <w:rFonts w:ascii="宋体" w:eastAsia="宋体" w:hAnsi="宋体" w:cs="宋体"/>
          <w:color w:val="000000"/>
          <w:sz w:val="27"/>
          <w:szCs w:val="27"/>
          <w:lang w:val="en-US" w:eastAsia="zh-CN" w:bidi="ar-SA"/>
        </w:rPr>
        <w:br/>
        <w:t>5.</w:t>
      </w:r>
      <w:r>
        <w:rPr>
          <w:rFonts w:ascii="宋体" w:eastAsia="宋体" w:hAnsi="宋体" w:cs="宋体"/>
          <w:color w:val="000000"/>
          <w:sz w:val="27"/>
          <w:szCs w:val="27"/>
          <w:lang w:val="en-US" w:eastAsia="zh-CN" w:bidi="ar-SA"/>
        </w:rPr>
        <w:t>申请执行具有执行风险，权利人应当有执行风险意识，人民法院依照法定程序执行，如法院已穷尽执行手段，而义</w:t>
      </w:r>
      <w:r>
        <w:rPr>
          <w:rFonts w:ascii="宋体" w:eastAsia="宋体" w:hAnsi="宋体" w:cs="宋体"/>
          <w:color w:val="000000"/>
          <w:sz w:val="27"/>
          <w:szCs w:val="27"/>
          <w:lang w:val="en-US" w:eastAsia="zh-CN" w:bidi="ar-SA"/>
        </w:rPr>
        <w:t>务人已丧失履行法律文书所确定义务的能力，且权利人又无法对义务人进行财产举证，将可能导致案件无法执行到位。这种后果是法院和权利人都不愿意发生的，但这是当事人交易风险在执行阶段的继续，权利人应知悉并理解此类执行不能的风险。</w:t>
      </w:r>
      <w:r>
        <w:rPr>
          <w:rFonts w:ascii="宋体" w:eastAsia="宋体" w:hAnsi="宋体" w:cs="宋体"/>
          <w:color w:val="000000"/>
          <w:sz w:val="27"/>
          <w:szCs w:val="27"/>
          <w:lang w:val="en-US" w:eastAsia="zh-CN" w:bidi="ar-SA"/>
        </w:rPr>
        <w:br/>
        <w:t>6.</w:t>
      </w:r>
      <w:r>
        <w:rPr>
          <w:rFonts w:ascii="宋体" w:eastAsia="宋体" w:hAnsi="宋体" w:cs="宋体"/>
          <w:color w:val="000000"/>
          <w:sz w:val="27"/>
          <w:szCs w:val="27"/>
          <w:lang w:val="en-US" w:eastAsia="zh-CN" w:bidi="ar-SA"/>
        </w:rPr>
        <w:t>执行期间人民法院有权对义务人的财产采取查封、扣押、冻结、搜查、拍卖、变卖等强制性措施；法院将依情节轻重限制义务人的高消费、纳入失信名单，向社会公布并通报征信机构，依法予以信用惩戒。</w:t>
      </w:r>
      <w:r>
        <w:rPr>
          <w:rFonts w:ascii="宋体" w:eastAsia="宋体" w:hAnsi="宋体" w:cs="宋体"/>
          <w:color w:val="000000"/>
          <w:sz w:val="27"/>
          <w:szCs w:val="27"/>
          <w:lang w:val="en-US" w:eastAsia="zh-CN" w:bidi="ar-SA"/>
        </w:rPr>
        <w:br/>
        <w:t>7.</w:t>
      </w:r>
      <w:r>
        <w:rPr>
          <w:rFonts w:ascii="宋体" w:eastAsia="宋体" w:hAnsi="宋体" w:cs="宋体"/>
          <w:color w:val="000000"/>
          <w:sz w:val="27"/>
          <w:szCs w:val="27"/>
          <w:lang w:val="en-US" w:eastAsia="zh-CN" w:bidi="ar-SA"/>
        </w:rPr>
        <w:t>人民法院对义务人拒不履行生效法律文书内容或逾期不申报、虚假申报财产的，可以采取罚款、拘留等措施，构成犯</w:t>
      </w:r>
      <w:r>
        <w:rPr>
          <w:rFonts w:ascii="宋体" w:eastAsia="宋体" w:hAnsi="宋体" w:cs="宋体"/>
          <w:color w:val="000000"/>
          <w:sz w:val="27"/>
          <w:szCs w:val="27"/>
          <w:lang w:val="en-US" w:eastAsia="zh-CN" w:bidi="ar-SA"/>
        </w:rPr>
        <w:t>罪的，依法追究刑事责任。</w:t>
      </w:r>
      <w:r>
        <w:rPr>
          <w:rFonts w:ascii="宋体" w:eastAsia="宋体" w:hAnsi="宋体" w:cs="宋体"/>
          <w:color w:val="000000"/>
          <w:sz w:val="27"/>
          <w:szCs w:val="27"/>
          <w:lang w:val="en-US" w:eastAsia="zh-CN" w:bidi="ar-SA"/>
        </w:rPr>
        <w:br/>
        <w:t>8.</w:t>
      </w:r>
      <w:r>
        <w:rPr>
          <w:rFonts w:ascii="宋体" w:eastAsia="宋体" w:hAnsi="宋体" w:cs="宋体"/>
          <w:color w:val="000000"/>
          <w:sz w:val="27"/>
          <w:szCs w:val="27"/>
          <w:lang w:val="en-US" w:eastAsia="zh-CN" w:bidi="ar-SA"/>
        </w:rPr>
        <w:t>义务人具有中共党员、人大代表、政协委员、公职人员等特殊身份，执行立案后拒不履行义务的，人民法院将向其所在单位及纪律监察部门、组织人身部门通报失信行为，并严格采取惩戒、制裁措施。</w:t>
      </w:r>
      <w:r>
        <w:rPr>
          <w:rFonts w:ascii="宋体" w:eastAsia="宋体" w:hAnsi="宋体" w:cs="宋体"/>
          <w:color w:val="000000"/>
          <w:sz w:val="27"/>
          <w:szCs w:val="27"/>
          <w:lang w:val="en-US" w:eastAsia="zh-CN" w:bidi="ar-SA"/>
        </w:rPr>
        <w:t xml:space="preserve"> </w:t>
      </w:r>
    </w:p>
    <w:p w14:paraId="4CC176A4" w14:textId="77777777" w:rsidR="00000000" w:rsidRDefault="00315BF6">
      <w:pPr>
        <w:ind w:left="375" w:right="375"/>
        <w:rPr>
          <w:rFonts w:ascii="Arial" w:eastAsia="Arial" w:hAnsi="Arial" w:cs="Arial"/>
          <w:lang w:val="en-US" w:eastAsia="zh-CN" w:bidi="ar-SA"/>
        </w:rPr>
      </w:pPr>
      <w:r>
        <w:rPr>
          <w:rFonts w:ascii="Arial" w:eastAsia="Arial" w:hAnsi="Arial" w:cs="Arial"/>
          <w:lang w:val="en-US" w:eastAsia="zh-CN" w:bidi="ar-SA"/>
        </w:rPr>
        <w:br/>
      </w:r>
    </w:p>
    <w:p w14:paraId="34F15DA0" w14:textId="77777777" w:rsidR="00000000" w:rsidRDefault="00A77B3E">
      <w:pPr>
        <w:spacing w:line="630" w:lineRule="atLeast"/>
        <w:rPr>
          <w:rFonts w:eastAsia="Times New Roman"/>
          <w:sz w:val="26"/>
          <w:szCs w:val="26"/>
          <w:lang w:val="en-US" w:eastAsia="zh-CN" w:bidi="ar-SA"/>
        </w:rPr>
      </w:pPr>
      <w:r>
        <w:br w:type="page"/>
      </w:r>
      <w:r w:rsidR="00315BF6">
        <w:rPr>
          <w:rFonts w:eastAsia="Times New Roman"/>
          <w:sz w:val="26"/>
          <w:szCs w:val="26"/>
          <w:lang w:val="en-US" w:eastAsia="zh-CN" w:bidi="ar-SA"/>
        </w:rPr>
        <w:t>©北大法宝：（</w:t>
      </w:r>
      <w:hyperlink r:id="rId13" w:history="1">
        <w:r w:rsidR="00315BF6">
          <w:rPr>
            <w:rFonts w:eastAsia="Times New Roman"/>
            <w:color w:val="218FC4"/>
            <w:sz w:val="26"/>
            <w:szCs w:val="26"/>
            <w:u w:val="single" w:color="218FC4"/>
            <w:lang w:val="en-US" w:eastAsia="zh-CN" w:bidi="ar-SA"/>
          </w:rPr>
          <w:t>www.pkulaw.com</w:t>
        </w:r>
      </w:hyperlink>
      <w:r w:rsidR="00315BF6">
        <w:rPr>
          <w:rFonts w:eastAsia="Times New Roman"/>
          <w:sz w:val="26"/>
          <w:szCs w:val="26"/>
          <w:lang w:val="en-US" w:eastAsia="zh-CN" w:bidi="ar-SA"/>
        </w:rPr>
        <w:t>）专业提供法律信息、法学知识和法律软件领域各类解决方案。北大法宝为您提供丰富的参考资料，正式引用法规条文时请与标准文本核对。 欢迎查看所有</w:t>
      </w:r>
      <w:hyperlink r:id="rId14" w:tgtFrame="_blank" w:history="1">
        <w:r w:rsidR="00315BF6">
          <w:rPr>
            <w:rFonts w:eastAsia="Times New Roman"/>
            <w:color w:val="218FC4"/>
            <w:sz w:val="26"/>
            <w:szCs w:val="26"/>
            <w:u w:val="single" w:color="218FC4"/>
            <w:lang w:val="en-US" w:eastAsia="zh-CN" w:bidi="ar-SA"/>
          </w:rPr>
          <w:t>产品和服务</w:t>
        </w:r>
      </w:hyperlink>
      <w:r w:rsidR="00315BF6">
        <w:rPr>
          <w:rFonts w:eastAsia="Times New Roman"/>
          <w:sz w:val="26"/>
          <w:szCs w:val="26"/>
          <w:lang w:val="en-US" w:eastAsia="zh-CN" w:bidi="ar-SA"/>
        </w:rPr>
        <w:t>。</w:t>
      </w:r>
      <w:r w:rsidR="00315BF6">
        <w:rPr>
          <w:rFonts w:eastAsia="Times New Roman"/>
          <w:sz w:val="26"/>
          <w:szCs w:val="26"/>
          <w:lang w:val="en-US" w:eastAsia="zh-CN" w:bidi="ar-SA"/>
        </w:rPr>
        <w:br/>
      </w:r>
      <w:hyperlink r:id="rId15" w:tgtFrame="_blank" w:history="1">
        <w:r w:rsidR="00315BF6">
          <w:rPr>
            <w:rFonts w:eastAsia="Times New Roman"/>
            <w:color w:val="218FC4"/>
            <w:sz w:val="26"/>
            <w:szCs w:val="26"/>
            <w:u w:val="single" w:color="218FC4"/>
            <w:lang w:val="en-US" w:eastAsia="zh-CN" w:bidi="ar-SA"/>
          </w:rPr>
          <w:t>法宝快讯： 如何快速找到您需要的检索结果？ 法宝 V6 有何新特色？</w:t>
        </w:r>
      </w:hyperlink>
    </w:p>
    <w:p w14:paraId="2AA19A1E" w14:textId="77777777" w:rsidR="00000000" w:rsidRDefault="00315BF6">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16" o:title=""/>
          </v:shape>
        </w:pict>
      </w:r>
    </w:p>
    <w:p w14:paraId="14A24652" w14:textId="77777777" w:rsidR="00000000" w:rsidRDefault="00315BF6">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30706DF7" w14:textId="77777777" w:rsidR="00000000" w:rsidRDefault="00315BF6">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17" w:tgtFrame="_blank" w:history="1">
        <w:r>
          <w:rPr>
            <w:rFonts w:eastAsia="Times New Roman"/>
            <w:color w:val="000000"/>
            <w:sz w:val="26"/>
            <w:szCs w:val="26"/>
            <w:u w:val="single" w:color="000000"/>
            <w:lang w:val="en-US" w:eastAsia="zh-CN" w:bidi="ar-SA"/>
          </w:rPr>
          <w:t xml:space="preserve">https://www.pkulaw.com/pfnl/a25051f3312b07f37ed829487c06e06a935c761b565981cebdfb.html </w:t>
        </w:r>
      </w:hyperlink>
    </w:p>
    <w:p w14:paraId="64375CB8" w14:textId="77777777" w:rsidR="00A77B3E" w:rsidRDefault="00A77B3E"/>
    <w:sectPr w:rsidR="00A77B3E">
      <w:headerReference w:type="default" r:id="rId18"/>
      <w:footerReference w:type="default" r:id="rId19"/>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3C772" w14:textId="77777777" w:rsidR="00000000" w:rsidRDefault="00315BF6">
      <w:r>
        <w:separator/>
      </w:r>
    </w:p>
  </w:endnote>
  <w:endnote w:type="continuationSeparator" w:id="0">
    <w:p w14:paraId="32F3EAEA" w14:textId="77777777" w:rsidR="00000000" w:rsidRDefault="00315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1D210890" w14:textId="77777777">
      <w:trPr>
        <w:tblCellSpacing w:w="15" w:type="dxa"/>
      </w:trPr>
      <w:tc>
        <w:tcPr>
          <w:tcW w:w="1530" w:type="dxa"/>
          <w:tcMar>
            <w:top w:w="15" w:type="dxa"/>
            <w:left w:w="15" w:type="dxa"/>
            <w:bottom w:w="15" w:type="dxa"/>
            <w:right w:w="15" w:type="dxa"/>
          </w:tcMar>
          <w:vAlign w:val="center"/>
          <w:hideMark/>
        </w:tcPr>
        <w:p w14:paraId="008D8A55" w14:textId="77777777" w:rsidR="00000000" w:rsidRDefault="00315BF6">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51008CA9" w14:textId="77777777" w:rsidR="00000000" w:rsidRDefault="00315BF6">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2023-11-21</w:t>
          </w:r>
        </w:p>
      </w:tc>
    </w:tr>
  </w:tbl>
  <w:p w14:paraId="17524119" w14:textId="77777777" w:rsidR="00000000" w:rsidRDefault="00315BF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CDD54" w14:textId="77777777" w:rsidR="00000000" w:rsidRDefault="00315BF6">
      <w:r>
        <w:separator/>
      </w:r>
    </w:p>
  </w:footnote>
  <w:footnote w:type="continuationSeparator" w:id="0">
    <w:p w14:paraId="4062867F" w14:textId="77777777" w:rsidR="00000000" w:rsidRDefault="00315B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18CDD5FF" w14:textId="77777777">
      <w:trPr>
        <w:tblCellSpacing w:w="15" w:type="dxa"/>
      </w:trPr>
      <w:tc>
        <w:tcPr>
          <w:tcW w:w="0" w:type="auto"/>
          <w:tcMar>
            <w:top w:w="15" w:type="dxa"/>
            <w:left w:w="15" w:type="dxa"/>
            <w:bottom w:w="15" w:type="dxa"/>
            <w:right w:w="15" w:type="dxa"/>
          </w:tcMar>
          <w:vAlign w:val="center"/>
          <w:hideMark/>
        </w:tcPr>
        <w:p w14:paraId="402959F3" w14:textId="77777777" w:rsidR="00000000" w:rsidRDefault="00315BF6">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0D6C8F9B" w14:textId="77777777" w:rsidR="00000000" w:rsidRDefault="00315BF6">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CLI.C.47973538</w:t>
          </w:r>
        </w:p>
      </w:tc>
    </w:tr>
  </w:tbl>
  <w:p w14:paraId="2B976351" w14:textId="77777777" w:rsidR="00000000" w:rsidRDefault="00315B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315BF6"/>
    <w:rsid w:val="00A77B3E"/>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09EEEE"/>
  <w15:chartTrackingRefBased/>
  <w15:docId w15:val="{9E1D1FB3-8025-4F78-9CB2-96EA06EE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315BF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315BF6"/>
    <w:rPr>
      <w:sz w:val="18"/>
      <w:szCs w:val="18"/>
    </w:rPr>
  </w:style>
  <w:style w:type="paragraph" w:styleId="a5">
    <w:name w:val="footer"/>
    <w:basedOn w:val="a"/>
    <w:link w:val="a6"/>
    <w:rsid w:val="00315BF6"/>
    <w:pPr>
      <w:tabs>
        <w:tab w:val="center" w:pos="4153"/>
        <w:tab w:val="right" w:pos="8306"/>
      </w:tabs>
      <w:snapToGrid w:val="0"/>
    </w:pPr>
    <w:rPr>
      <w:sz w:val="18"/>
      <w:szCs w:val="18"/>
    </w:rPr>
  </w:style>
  <w:style w:type="character" w:customStyle="1" w:styleId="a6">
    <w:name w:val="页脚 字符"/>
    <w:basedOn w:val="a0"/>
    <w:link w:val="a5"/>
    <w:rsid w:val="00315B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pkulaw.com/chl/2367b1767194112cbdfb.html?way=textSlc" TargetMode="External"/><Relationship Id="rId13" Type="http://schemas.openxmlformats.org/officeDocument/2006/relationships/hyperlink" Target="https://www.pkulaw.co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pkulaw.com/chl/2367b1767194112cbdfb.html?way=textSlc" TargetMode="External"/><Relationship Id="rId12" Type="http://schemas.openxmlformats.org/officeDocument/2006/relationships/hyperlink" Target="https://www.pkulaw.com/chl/d33df017c784876fbdfb.html?way=textSlc" TargetMode="External"/><Relationship Id="rId17" Type="http://schemas.openxmlformats.org/officeDocument/2006/relationships/hyperlink" Target="https://www.pkulaw.com/pfnl/a25051f3312b07f37ed829487c06e06a935c761b565981cebdfb.html"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d33df017c784876fbdfb.html?way=textSlc" TargetMode="External"/><Relationship Id="rId5" Type="http://schemas.openxmlformats.org/officeDocument/2006/relationships/footnotes" Target="footnotes.xml"/><Relationship Id="rId15" Type="http://schemas.openxmlformats.org/officeDocument/2006/relationships/hyperlink" Target="http://www.pkulaw.com/helps/69.html" TargetMode="External"/><Relationship Id="rId10" Type="http://schemas.openxmlformats.org/officeDocument/2006/relationships/hyperlink" Target="https://www.pkulaw.com/chl/d33df017c784876fbdfb.html?way=textSlc"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pkulaw.com/chl/d33df017c784876fbdfb.html?way=textSlc" TargetMode="External"/><Relationship Id="rId14" Type="http://schemas.openxmlformats.org/officeDocument/2006/relationships/hyperlink" Target="http://www.pkulaw.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2024-05-11T15:37:00Z</dcterms:created>
  <dcterms:modified xsi:type="dcterms:W3CDTF">2024-05-11T15:37:00Z</dcterms:modified>
</cp:coreProperties>
</file>