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E2E6" w14:textId="77777777" w:rsidR="00000000" w:rsidRDefault="0099427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吴如芙与潘爱平民间借贷纠纷一审民事判决书</w:t>
      </w:r>
    </w:p>
    <w:p w14:paraId="40D08C5D" w14:textId="77777777" w:rsidR="00000000" w:rsidRDefault="0099427F">
      <w:pPr>
        <w:ind w:left="375" w:right="375"/>
        <w:rPr>
          <w:rFonts w:ascii="Arial" w:eastAsia="Arial" w:hAnsi="Arial" w:cs="Arial"/>
          <w:lang w:val="en-US" w:eastAsia="zh-CN" w:bidi="ar-SA"/>
        </w:rPr>
      </w:pPr>
      <w:r>
        <w:rPr>
          <w:rFonts w:ascii="Arial" w:eastAsia="Arial" w:hAnsi="Arial" w:cs="Arial"/>
          <w:lang w:val="en-US" w:eastAsia="zh-CN" w:bidi="ar-SA"/>
        </w:rPr>
        <w:br/>
      </w:r>
    </w:p>
    <w:p w14:paraId="1BA59A8A" w14:textId="77777777" w:rsidR="00000000" w:rsidRDefault="0099427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吴如芙与潘爱平民间借贷纠纷一审民事判决书</w:t>
      </w:r>
    </w:p>
    <w:p w14:paraId="3B264FF0" w14:textId="77777777" w:rsidR="00000000" w:rsidRDefault="0099427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7D57FAE" w14:textId="77777777" w:rsidR="00000000" w:rsidRDefault="0099427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2075</w:t>
      </w:r>
      <w:r>
        <w:rPr>
          <w:rStyle w:val="span"/>
          <w:rFonts w:ascii="宋体" w:eastAsia="宋体" w:hAnsi="宋体" w:cs="宋体"/>
          <w:color w:val="000000"/>
          <w:sz w:val="27"/>
          <w:szCs w:val="27"/>
          <w:lang w:val="en-US" w:eastAsia="zh-CN" w:bidi="ar-SA"/>
        </w:rPr>
        <w:t>号</w:t>
      </w:r>
    </w:p>
    <w:p w14:paraId="649019B7" w14:textId="77777777" w:rsidR="00000000" w:rsidRDefault="0099427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原告：吴如芙。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委托诉讼代理人：李勇，</w:t>
      </w:r>
      <w:hyperlink r:id="rId7" w:history="1">
        <w:r>
          <w:rPr>
            <w:rStyle w:val="fulltext-wrapfulltexta"/>
            <w:rFonts w:ascii="宋体" w:eastAsia="宋体" w:hAnsi="宋体" w:cs="宋体"/>
            <w:sz w:val="27"/>
            <w:szCs w:val="27"/>
            <w:lang w:val="en-US" w:eastAsia="zh-CN" w:bidi="ar-SA"/>
          </w:rPr>
          <w:t>浙江时代商务律师事务所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委托诉讼代理人：章特，</w:t>
      </w:r>
      <w:hyperlink r:id="rId8" w:history="1">
        <w:r>
          <w:rPr>
            <w:rStyle w:val="fulltext-wrapfulltexta"/>
            <w:rFonts w:ascii="宋体" w:eastAsia="宋体" w:hAnsi="宋体" w:cs="宋体"/>
            <w:sz w:val="27"/>
            <w:szCs w:val="27"/>
            <w:lang w:val="en-US" w:eastAsia="zh-CN" w:bidi="ar-SA"/>
          </w:rPr>
          <w:t>浙江时代商</w:t>
        </w:r>
        <w:r>
          <w:rPr>
            <w:rStyle w:val="fulltext-wrapfulltexta"/>
            <w:rFonts w:ascii="宋体" w:eastAsia="宋体" w:hAnsi="宋体" w:cs="宋体"/>
            <w:sz w:val="27"/>
            <w:szCs w:val="27"/>
            <w:lang w:val="en-US" w:eastAsia="zh-CN" w:bidi="ar-SA"/>
          </w:rPr>
          <w:t>务律师事务所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被告：潘爱平。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原告吴如芙与被告潘爱平民间借贷纠纷一案，原告吴如芙于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日向本院起诉，诉请判令被告立即向原告偿还借款</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元及利息（利息自起诉之日起算，按银行同期同档次贷款利率计算至实际履行完毕之日止）。诉讼中，原告变更诉请为：判令被告立即向原告偿还借款</w:t>
      </w:r>
      <w:r>
        <w:rPr>
          <w:rFonts w:ascii="宋体" w:eastAsia="宋体" w:hAnsi="宋体" w:cs="宋体"/>
          <w:color w:val="000000"/>
          <w:sz w:val="27"/>
          <w:szCs w:val="27"/>
          <w:lang w:val="en-US" w:eastAsia="zh-CN" w:bidi="ar-SA"/>
        </w:rPr>
        <w:t>48000</w:t>
      </w:r>
      <w:r>
        <w:rPr>
          <w:rFonts w:ascii="宋体" w:eastAsia="宋体" w:hAnsi="宋体" w:cs="宋体"/>
          <w:color w:val="000000"/>
          <w:sz w:val="27"/>
          <w:szCs w:val="27"/>
          <w:lang w:val="en-US" w:eastAsia="zh-CN" w:bidi="ar-SA"/>
        </w:rPr>
        <w:t>元及利息损失（利息损失自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计算至实际履行完毕之日止）。本院受理后，依法适用简易程序，于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日公开开庭进行了审理并当庭宣判。原告吴如芙的委托诉讼代理人</w:t>
      </w:r>
      <w:r>
        <w:rPr>
          <w:rFonts w:ascii="宋体" w:eastAsia="宋体" w:hAnsi="宋体" w:cs="宋体"/>
          <w:color w:val="000000"/>
          <w:sz w:val="27"/>
          <w:szCs w:val="27"/>
          <w:lang w:val="en-US" w:eastAsia="zh-CN" w:bidi="ar-SA"/>
        </w:rPr>
        <w:t>李勇到庭参加诉讼。被告潘爱平经本院传票传唤，无正当理由拒不到庭。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日，被告因资金周转需要两次向原告提出借款请求，原告于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日通过手机银行分别向被告转账</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日，被告向原告出具《借条》一份，其上载明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今借吴如芙人民币伍万元正</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，对上述借款予以确认。</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lastRenderedPageBreak/>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日，被告偿还原告借款</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元，剩余借款至今未偿还。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1" w:anchor="tiao_60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2"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4"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被告潘爱平于本判决生效之日起十日内偿还原告吴如芙借款</w:t>
      </w:r>
      <w:r>
        <w:rPr>
          <w:rFonts w:ascii="宋体" w:eastAsia="宋体" w:hAnsi="宋体" w:cs="宋体"/>
          <w:color w:val="000000"/>
          <w:sz w:val="27"/>
          <w:szCs w:val="27"/>
          <w:lang w:val="en-US" w:eastAsia="zh-CN" w:bidi="ar-SA"/>
        </w:rPr>
        <w:t>48000</w:t>
      </w:r>
      <w:r>
        <w:rPr>
          <w:rFonts w:ascii="宋体" w:eastAsia="宋体" w:hAnsi="宋体" w:cs="宋体"/>
          <w:color w:val="000000"/>
          <w:sz w:val="27"/>
          <w:szCs w:val="27"/>
          <w:lang w:val="en-US" w:eastAsia="zh-CN" w:bidi="ar-SA"/>
        </w:rPr>
        <w:t>元并赔偿利息损失（从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计算至实际履行完毕之日止）。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1050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525</w:t>
      </w:r>
      <w:r>
        <w:rPr>
          <w:rFonts w:ascii="宋体" w:eastAsia="宋体" w:hAnsi="宋体" w:cs="宋体"/>
          <w:color w:val="000000"/>
          <w:sz w:val="27"/>
          <w:szCs w:val="27"/>
          <w:lang w:val="en-US" w:eastAsia="zh-CN" w:bidi="ar-SA"/>
        </w:rPr>
        <w:t>元，由被告潘爱平承担。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如不服本判决，可以在判决书送达之日起十五日内，向本院递交上诉状，并按对方当事人的人数提出副本，上诉于温州市中级人民法院。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073763B7" w14:textId="77777777" w:rsidR="00000000" w:rsidRDefault="0099427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林现瑶</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二〇一九年四月十日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李　超</w:t>
      </w:r>
    </w:p>
    <w:p w14:paraId="72F91BF9" w14:textId="77777777" w:rsidR="00000000" w:rsidRDefault="0099427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w:t>
      </w:r>
      <w:r>
        <w:rPr>
          <w:rFonts w:ascii="宋体" w:eastAsia="宋体" w:hAnsi="宋体" w:cs="宋体"/>
          <w:color w:val="000000"/>
          <w:sz w:val="27"/>
          <w:szCs w:val="27"/>
          <w:lang w:val="en-US" w:eastAsia="zh-CN" w:bidi="ar-SA"/>
        </w:rPr>
        <w:t>律条文</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第六十条当事人应当按照约定全面履行自己的义务。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当事人应当遵循诚实信用原则，根据合同的性质、目的和交易习惯履行通知、协助、保密等义务。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w:t>
      </w:r>
      <w:r>
        <w:rPr>
          <w:rFonts w:ascii="宋体" w:eastAsia="宋体" w:hAnsi="宋体" w:cs="宋体"/>
          <w:color w:val="000000"/>
          <w:sz w:val="27"/>
          <w:szCs w:val="27"/>
          <w:lang w:val="en-US" w:eastAsia="zh-CN" w:bidi="ar-SA"/>
        </w:rPr>
        <w:t>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w:t>
      </w:r>
      <w:r>
        <w:rPr>
          <w:rFonts w:ascii="宋体" w:eastAsia="宋体" w:hAnsi="宋体" w:cs="宋体"/>
          <w:color w:val="000000"/>
          <w:sz w:val="27"/>
          <w:szCs w:val="27"/>
          <w:lang w:val="en-US" w:eastAsia="zh-CN" w:bidi="ar-SA"/>
        </w:rPr>
        <w:t>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w:t>
      </w:r>
      <w:r>
        <w:rPr>
          <w:rFonts w:ascii="宋体" w:eastAsia="宋体" w:hAnsi="宋体" w:cs="宋体"/>
          <w:color w:val="000000"/>
          <w:sz w:val="27"/>
          <w:szCs w:val="27"/>
          <w:lang w:val="en-US" w:eastAsia="zh-CN" w:bidi="ar-SA"/>
        </w:rPr>
        <w:t>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w:t>
      </w:r>
      <w:r>
        <w:rPr>
          <w:rFonts w:ascii="宋体" w:eastAsia="宋体" w:hAnsi="宋体" w:cs="宋体"/>
          <w:color w:val="000000"/>
          <w:sz w:val="27"/>
          <w:szCs w:val="27"/>
          <w:lang w:val="en-US" w:eastAsia="zh-CN" w:bidi="ar-SA"/>
        </w:rPr>
        <w:t>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义务人具有中共党员、人大代表、政协委员、公职人员等特殊身份，执行立案后拒不履行义务的，人民法院将向其所在单位及纪律监察部门、组织人事部门通报失信行为，并严格采取惩戒、制裁措施。</w:t>
      </w:r>
      <w:r>
        <w:rPr>
          <w:rFonts w:ascii="宋体" w:eastAsia="宋体" w:hAnsi="宋体" w:cs="宋体"/>
          <w:color w:val="000000"/>
          <w:sz w:val="27"/>
          <w:szCs w:val="27"/>
          <w:lang w:val="en-US" w:eastAsia="zh-CN" w:bidi="ar-SA"/>
        </w:rPr>
        <w:t xml:space="preserve"> </w:t>
      </w:r>
    </w:p>
    <w:p w14:paraId="59B31E02" w14:textId="77777777" w:rsidR="00000000" w:rsidRDefault="0099427F">
      <w:pPr>
        <w:ind w:left="375" w:right="375"/>
        <w:rPr>
          <w:rFonts w:ascii="Arial" w:eastAsia="Arial" w:hAnsi="Arial" w:cs="Arial"/>
          <w:lang w:val="en-US" w:eastAsia="zh-CN" w:bidi="ar-SA"/>
        </w:rPr>
      </w:pPr>
      <w:r>
        <w:rPr>
          <w:rFonts w:ascii="Arial" w:eastAsia="Arial" w:hAnsi="Arial" w:cs="Arial"/>
          <w:lang w:val="en-US" w:eastAsia="zh-CN" w:bidi="ar-SA"/>
        </w:rPr>
        <w:br/>
      </w:r>
    </w:p>
    <w:p w14:paraId="47932AFD" w14:textId="77777777" w:rsidR="00000000" w:rsidRDefault="00A77B3E">
      <w:pPr>
        <w:spacing w:line="630" w:lineRule="atLeast"/>
        <w:rPr>
          <w:rFonts w:eastAsia="Times New Roman"/>
          <w:sz w:val="26"/>
          <w:szCs w:val="26"/>
          <w:lang w:val="en-US" w:eastAsia="zh-CN" w:bidi="ar-SA"/>
        </w:rPr>
      </w:pPr>
      <w:r>
        <w:br w:type="page"/>
      </w:r>
      <w:r w:rsidR="0099427F">
        <w:rPr>
          <w:rFonts w:eastAsia="Times New Roman"/>
          <w:sz w:val="26"/>
          <w:szCs w:val="26"/>
          <w:lang w:val="en-US" w:eastAsia="zh-CN" w:bidi="ar-SA"/>
        </w:rPr>
        <w:t>©北大法宝：（</w:t>
      </w:r>
      <w:hyperlink r:id="rId21" w:history="1">
        <w:r w:rsidR="0099427F">
          <w:rPr>
            <w:rFonts w:eastAsia="Times New Roman"/>
            <w:color w:val="218FC4"/>
            <w:sz w:val="26"/>
            <w:szCs w:val="26"/>
            <w:u w:val="single" w:color="218FC4"/>
            <w:lang w:val="en-US" w:eastAsia="zh-CN" w:bidi="ar-SA"/>
          </w:rPr>
          <w:t>www.pkulaw.com</w:t>
        </w:r>
      </w:hyperlink>
      <w:r w:rsidR="0099427F">
        <w:rPr>
          <w:rFonts w:eastAsia="Times New Roman"/>
          <w:sz w:val="26"/>
          <w:szCs w:val="26"/>
          <w:lang w:val="en-US" w:eastAsia="zh-CN" w:bidi="ar-SA"/>
        </w:rPr>
        <w:t>）专业提供法律信息、法学知识和法律软件领域各类解决方案。北大法宝为您提供丰富的参考资料，正式引用法规条文时请与标准</w:t>
      </w:r>
      <w:r w:rsidR="0099427F">
        <w:rPr>
          <w:rFonts w:eastAsia="Times New Roman"/>
          <w:sz w:val="26"/>
          <w:szCs w:val="26"/>
          <w:lang w:val="en-US" w:eastAsia="zh-CN" w:bidi="ar-SA"/>
        </w:rPr>
        <w:t>文本核对。 欢迎查看所有</w:t>
      </w:r>
      <w:hyperlink r:id="rId22" w:tgtFrame="_blank" w:history="1">
        <w:r w:rsidR="0099427F">
          <w:rPr>
            <w:rFonts w:eastAsia="Times New Roman"/>
            <w:color w:val="218FC4"/>
            <w:sz w:val="26"/>
            <w:szCs w:val="26"/>
            <w:u w:val="single" w:color="218FC4"/>
            <w:lang w:val="en-US" w:eastAsia="zh-CN" w:bidi="ar-SA"/>
          </w:rPr>
          <w:t>产品和服务</w:t>
        </w:r>
      </w:hyperlink>
      <w:r w:rsidR="0099427F">
        <w:rPr>
          <w:rFonts w:eastAsia="Times New Roman"/>
          <w:sz w:val="26"/>
          <w:szCs w:val="26"/>
          <w:lang w:val="en-US" w:eastAsia="zh-CN" w:bidi="ar-SA"/>
        </w:rPr>
        <w:t>。</w:t>
      </w:r>
      <w:r w:rsidR="0099427F">
        <w:rPr>
          <w:rFonts w:eastAsia="Times New Roman"/>
          <w:sz w:val="26"/>
          <w:szCs w:val="26"/>
          <w:lang w:val="en-US" w:eastAsia="zh-CN" w:bidi="ar-SA"/>
        </w:rPr>
        <w:br/>
      </w:r>
      <w:hyperlink r:id="rId23" w:tgtFrame="_blank" w:history="1">
        <w:r w:rsidR="0099427F">
          <w:rPr>
            <w:rFonts w:eastAsia="Times New Roman"/>
            <w:color w:val="218FC4"/>
            <w:sz w:val="26"/>
            <w:szCs w:val="26"/>
            <w:u w:val="single" w:color="218FC4"/>
            <w:lang w:val="en-US" w:eastAsia="zh-CN" w:bidi="ar-SA"/>
          </w:rPr>
          <w:t>法宝快讯： 如何快速找到您需要的检索结果？ 法宝 V6 有何新特色？</w:t>
        </w:r>
      </w:hyperlink>
    </w:p>
    <w:p w14:paraId="73E4F3D7" w14:textId="77777777" w:rsidR="00000000" w:rsidRDefault="0099427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316B6755" w14:textId="77777777" w:rsidR="00000000" w:rsidRDefault="0099427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067F4D6" w14:textId="77777777" w:rsidR="00000000" w:rsidRDefault="0099427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 xml:space="preserve">https://www.pkulaw.com/pfnl/a6bdb3332ec0adc426877e470e22b3362becaf5e4716da7bbdfb.html </w:t>
        </w:r>
      </w:hyperlink>
    </w:p>
    <w:p w14:paraId="2F2857C3"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9F74" w14:textId="77777777" w:rsidR="00000000" w:rsidRDefault="0099427F">
      <w:r>
        <w:separator/>
      </w:r>
    </w:p>
  </w:endnote>
  <w:endnote w:type="continuationSeparator" w:id="0">
    <w:p w14:paraId="43733229" w14:textId="77777777" w:rsidR="00000000" w:rsidRDefault="0099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667E7CF" w14:textId="77777777">
      <w:trPr>
        <w:tblCellSpacing w:w="15" w:type="dxa"/>
      </w:trPr>
      <w:tc>
        <w:tcPr>
          <w:tcW w:w="1530" w:type="dxa"/>
          <w:tcMar>
            <w:top w:w="15" w:type="dxa"/>
            <w:left w:w="15" w:type="dxa"/>
            <w:bottom w:w="15" w:type="dxa"/>
            <w:right w:w="15" w:type="dxa"/>
          </w:tcMar>
          <w:vAlign w:val="center"/>
          <w:hideMark/>
        </w:tcPr>
        <w:p w14:paraId="58B1DB87" w14:textId="77777777" w:rsidR="00000000" w:rsidRDefault="0099427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A3FA349" w14:textId="77777777" w:rsidR="00000000" w:rsidRDefault="0099427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B34C432" w14:textId="77777777" w:rsidR="00000000" w:rsidRDefault="009942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9927" w14:textId="77777777" w:rsidR="00000000" w:rsidRDefault="0099427F">
      <w:r>
        <w:separator/>
      </w:r>
    </w:p>
  </w:footnote>
  <w:footnote w:type="continuationSeparator" w:id="0">
    <w:p w14:paraId="2F05F19F" w14:textId="77777777" w:rsidR="00000000" w:rsidRDefault="00994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141A3F8" w14:textId="77777777">
      <w:trPr>
        <w:tblCellSpacing w:w="15" w:type="dxa"/>
      </w:trPr>
      <w:tc>
        <w:tcPr>
          <w:tcW w:w="0" w:type="auto"/>
          <w:tcMar>
            <w:top w:w="15" w:type="dxa"/>
            <w:left w:w="15" w:type="dxa"/>
            <w:bottom w:w="15" w:type="dxa"/>
            <w:right w:w="15" w:type="dxa"/>
          </w:tcMar>
          <w:vAlign w:val="center"/>
          <w:hideMark/>
        </w:tcPr>
        <w:p w14:paraId="0F4846B1" w14:textId="77777777" w:rsidR="00000000" w:rsidRDefault="0099427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2CCAE25" w14:textId="77777777" w:rsidR="00000000" w:rsidRDefault="0099427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CLI.C.94050285</w:t>
          </w:r>
        </w:p>
      </w:tc>
    </w:tr>
  </w:tbl>
  <w:p w14:paraId="2E3C5BD4" w14:textId="77777777" w:rsidR="00000000" w:rsidRDefault="009942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9427F"/>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5A814"/>
  <w15:chartTrackingRefBased/>
  <w15:docId w15:val="{BF275125-0965-4153-8DE8-508537A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9942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9427F"/>
    <w:rPr>
      <w:sz w:val="18"/>
      <w:szCs w:val="18"/>
    </w:rPr>
  </w:style>
  <w:style w:type="paragraph" w:styleId="a5">
    <w:name w:val="footer"/>
    <w:basedOn w:val="a"/>
    <w:link w:val="a6"/>
    <w:rsid w:val="0099427F"/>
    <w:pPr>
      <w:tabs>
        <w:tab w:val="center" w:pos="4153"/>
        <w:tab w:val="right" w:pos="8306"/>
      </w:tabs>
      <w:snapToGrid w:val="0"/>
    </w:pPr>
    <w:rPr>
      <w:sz w:val="18"/>
      <w:szCs w:val="18"/>
    </w:rPr>
  </w:style>
  <w:style w:type="character" w:customStyle="1" w:styleId="a6">
    <w:name w:val="页脚 字符"/>
    <w:basedOn w:val="a0"/>
    <w:link w:val="a5"/>
    <w:rsid w:val="009942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7993;&#27743;&#26102;&#20195;&#21830;&#21153;&#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javascript:LawFirmSearch('&#27993;&#27743;&#26102;&#20195;&#21830;&#21153;&#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pfnl/a6bdb3332ec0adc426877e470e22b3362becaf5e4716da7bbdfb.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