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F554" w14:textId="77777777" w:rsidR="00000000" w:rsidRDefault="002516C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陈永跑、林富熾民间借贷纠纷一审民事判决书</w:t>
      </w:r>
    </w:p>
    <w:p w14:paraId="294F68F7" w14:textId="77777777" w:rsidR="00000000" w:rsidRDefault="002516C6">
      <w:pPr>
        <w:ind w:left="375" w:right="375"/>
        <w:rPr>
          <w:rFonts w:ascii="Arial" w:eastAsia="Arial" w:hAnsi="Arial" w:cs="Arial"/>
          <w:lang w:val="en-US" w:eastAsia="zh-CN" w:bidi="ar-SA"/>
        </w:rPr>
      </w:pPr>
      <w:r>
        <w:rPr>
          <w:rFonts w:ascii="Arial" w:eastAsia="Arial" w:hAnsi="Arial" w:cs="Arial"/>
          <w:lang w:val="en-US" w:eastAsia="zh-CN" w:bidi="ar-SA"/>
        </w:rPr>
        <w:br/>
      </w:r>
    </w:p>
    <w:p w14:paraId="667A9037" w14:textId="77777777" w:rsidR="00000000" w:rsidRDefault="002516C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陈永跑、林富熾民间借贷纠纷一审民事判决书</w:t>
      </w:r>
    </w:p>
    <w:p w14:paraId="06FB6893" w14:textId="77777777" w:rsidR="00000000" w:rsidRDefault="002516C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5E773AA" w14:textId="77777777" w:rsidR="00000000" w:rsidRDefault="002516C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1860</w:t>
      </w:r>
      <w:r>
        <w:rPr>
          <w:rStyle w:val="span"/>
          <w:rFonts w:ascii="宋体" w:eastAsia="宋体" w:hAnsi="宋体" w:cs="宋体"/>
          <w:color w:val="000000"/>
          <w:sz w:val="27"/>
          <w:szCs w:val="27"/>
          <w:lang w:val="en-US" w:eastAsia="zh-CN" w:bidi="ar-SA"/>
        </w:rPr>
        <w:t>号</w:t>
      </w:r>
    </w:p>
    <w:p w14:paraId="4B4D3DAA" w14:textId="77777777" w:rsidR="00000000" w:rsidRDefault="002516C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原告：陈永跑。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被告：林富熾。</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原告陈永跑与被告林富熾民间借贷纠纷一案，原告陈永跑于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日向本院提起诉讼，请求判令：被告林富熾归还原告陈永跑借款本金</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万元并支付利息（从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计算至判决确定之日止）。本院受理后，依法适用普通程序，于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日公开开庭进行审理。本案现已</w:t>
      </w:r>
      <w:r>
        <w:rPr>
          <w:rFonts w:ascii="宋体" w:eastAsia="宋体" w:hAnsi="宋体" w:cs="宋体"/>
          <w:color w:val="000000"/>
          <w:sz w:val="27"/>
          <w:szCs w:val="27"/>
          <w:lang w:val="en-US" w:eastAsia="zh-CN" w:bidi="ar-SA"/>
        </w:rPr>
        <w:t>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2" w:name="anchor-3"/>
      <w:bookmarkEnd w:id="2"/>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日原告陈永跑通过银行向被告林富熾转账</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日原告陈永跑通过支付宝向被告林富熾各转账</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日，双方进行结算，被告林富熾向原告陈永跑出具借款单，该单载明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今向陈永跑借到</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元整。约定事项：月利率为百分之壹点伍</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。此后，被告林富熾未偿还原告上述款项。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0"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3" w:name="anchor-2"/>
      <w:bookmarkEnd w:id="3"/>
      <w:r>
        <w:rPr>
          <w:rFonts w:ascii="宋体" w:eastAsia="宋体" w:hAnsi="宋体" w:cs="宋体"/>
          <w:color w:val="000000"/>
          <w:sz w:val="27"/>
          <w:szCs w:val="27"/>
          <w:lang w:val="en-US" w:eastAsia="zh-CN" w:bidi="ar-SA"/>
        </w:rPr>
        <w:t xml:space="preserve">　　被告林富熾应于本判决生效之日起十日内偿付原告陈永跑借款本金</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万元及利息（按月利率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日起计算至判决确定的履行之日</w:t>
      </w:r>
      <w:r>
        <w:rPr>
          <w:rFonts w:ascii="宋体" w:eastAsia="宋体" w:hAnsi="宋体" w:cs="宋体"/>
          <w:color w:val="000000"/>
          <w:sz w:val="27"/>
          <w:szCs w:val="27"/>
          <w:lang w:val="en-US" w:eastAsia="zh-CN" w:bidi="ar-SA"/>
        </w:rPr>
        <w:lastRenderedPageBreak/>
        <w:t>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1918</w:t>
      </w:r>
      <w:r>
        <w:rPr>
          <w:rFonts w:ascii="宋体" w:eastAsia="宋体" w:hAnsi="宋体" w:cs="宋体"/>
          <w:color w:val="000000"/>
          <w:sz w:val="27"/>
          <w:szCs w:val="27"/>
          <w:lang w:val="en-US" w:eastAsia="zh-CN" w:bidi="ar-SA"/>
        </w:rPr>
        <w:t>元，由被告林富熾负担。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4" w:name="anchor-4"/>
      <w:bookmarkEnd w:id="4"/>
    </w:p>
    <w:p w14:paraId="6D4374CD" w14:textId="77777777" w:rsidR="00000000" w:rsidRDefault="002516C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蒋玲玉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翁瑞育</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王崇林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二〇一九年六月二十一日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石楚楚</w:t>
      </w:r>
    </w:p>
    <w:p w14:paraId="4FE4D8B4" w14:textId="77777777" w:rsidR="00000000" w:rsidRDefault="002516C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5" w:name="anchor-5"/>
      <w:bookmarkEnd w:id="5"/>
      <w:r>
        <w:rPr>
          <w:rFonts w:ascii="宋体" w:eastAsia="宋体" w:hAnsi="宋体" w:cs="宋体"/>
          <w:color w:val="000000"/>
          <w:sz w:val="27"/>
          <w:szCs w:val="27"/>
          <w:lang w:val="en-US" w:eastAsia="zh-CN" w:bidi="ar-SA"/>
        </w:rPr>
        <w:t>附告：判</w:t>
      </w:r>
      <w:r>
        <w:rPr>
          <w:rFonts w:ascii="宋体" w:eastAsia="宋体" w:hAnsi="宋体" w:cs="宋体"/>
          <w:color w:val="000000"/>
          <w:sz w:val="27"/>
          <w:szCs w:val="27"/>
          <w:lang w:val="en-US" w:eastAsia="zh-CN" w:bidi="ar-SA"/>
        </w:rPr>
        <w:t>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第二百零五条借款人应当按照约定的期限支付利息。对支付利息的期限没有约定或者约定不明确，依照本法第六十一条的规定仍不能确定，借款期间不满一</w:t>
      </w:r>
      <w:r>
        <w:rPr>
          <w:rFonts w:ascii="宋体" w:eastAsia="宋体" w:hAnsi="宋体" w:cs="宋体"/>
          <w:color w:val="000000"/>
          <w:sz w:val="27"/>
          <w:szCs w:val="27"/>
          <w:lang w:val="en-US" w:eastAsia="zh-CN" w:bidi="ar-SA"/>
        </w:rPr>
        <w:t>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w:t>
      </w:r>
      <w:r>
        <w:rPr>
          <w:rFonts w:ascii="宋体" w:eastAsia="宋体" w:hAnsi="宋体" w:cs="宋体"/>
          <w:color w:val="000000"/>
          <w:sz w:val="27"/>
          <w:szCs w:val="27"/>
          <w:lang w:val="en-US" w:eastAsia="zh-CN" w:bidi="ar-SA"/>
        </w:rPr>
        <w:t>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w:t>
      </w:r>
      <w:r>
        <w:rPr>
          <w:rFonts w:ascii="宋体" w:eastAsia="宋体" w:hAnsi="宋体" w:cs="宋体"/>
          <w:color w:val="000000"/>
          <w:sz w:val="27"/>
          <w:szCs w:val="27"/>
          <w:lang w:val="en-US" w:eastAsia="zh-CN" w:bidi="ar-SA"/>
        </w:rPr>
        <w:t>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执行期间人民法院有权对义务人的财产采取查封、扣押、冻结、搜查、拍卖、变卖等强制性措施；法院将依情节轻重限制义务人的高</w:t>
      </w:r>
      <w:r>
        <w:rPr>
          <w:rFonts w:ascii="宋体" w:eastAsia="宋体" w:hAnsi="宋体" w:cs="宋体"/>
          <w:color w:val="000000"/>
          <w:sz w:val="27"/>
          <w:szCs w:val="27"/>
          <w:lang w:val="en-US" w:eastAsia="zh-CN" w:bidi="ar-SA"/>
        </w:rPr>
        <w:t>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人民法院对义务人拒不履行生效法律文书内容或逾期不申报、虚假申报财产的，可以采取罚款、拘留等措施，构成犯罪的，依法追究刑事责任。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义务人具有中共党员、人大代表、政协委员、公职人员等特殊身份，执行立案后拒不履行义务的，人民法院将向其所在单位及纪律监察部门、组织人身部门通报失信行为，并严格采取惩戒、制裁措施。</w:t>
      </w:r>
      <w:r>
        <w:rPr>
          <w:rFonts w:ascii="宋体" w:eastAsia="宋体" w:hAnsi="宋体" w:cs="宋体"/>
          <w:color w:val="000000"/>
          <w:sz w:val="27"/>
          <w:szCs w:val="27"/>
          <w:lang w:val="en-US" w:eastAsia="zh-CN" w:bidi="ar-SA"/>
        </w:rPr>
        <w:t xml:space="preserve"> </w:t>
      </w:r>
    </w:p>
    <w:p w14:paraId="195A5187" w14:textId="77777777" w:rsidR="00000000" w:rsidRDefault="002516C6">
      <w:pPr>
        <w:ind w:left="375" w:right="375"/>
        <w:rPr>
          <w:rFonts w:ascii="Arial" w:eastAsia="Arial" w:hAnsi="Arial" w:cs="Arial"/>
          <w:lang w:val="en-US" w:eastAsia="zh-CN" w:bidi="ar-SA"/>
        </w:rPr>
      </w:pPr>
      <w:r>
        <w:rPr>
          <w:rFonts w:ascii="Arial" w:eastAsia="Arial" w:hAnsi="Arial" w:cs="Arial"/>
          <w:lang w:val="en-US" w:eastAsia="zh-CN" w:bidi="ar-SA"/>
        </w:rPr>
        <w:br/>
      </w:r>
    </w:p>
    <w:p w14:paraId="38F65D3E" w14:textId="77777777" w:rsidR="00000000" w:rsidRDefault="00A77B3E">
      <w:pPr>
        <w:spacing w:line="630" w:lineRule="atLeast"/>
        <w:rPr>
          <w:rFonts w:eastAsia="Times New Roman"/>
          <w:sz w:val="26"/>
          <w:szCs w:val="26"/>
          <w:lang w:val="en-US" w:eastAsia="zh-CN" w:bidi="ar-SA"/>
        </w:rPr>
      </w:pPr>
      <w:r>
        <w:br w:type="page"/>
      </w:r>
      <w:r w:rsidR="002516C6">
        <w:rPr>
          <w:rFonts w:eastAsia="Times New Roman"/>
          <w:sz w:val="26"/>
          <w:szCs w:val="26"/>
          <w:lang w:val="en-US" w:eastAsia="zh-CN" w:bidi="ar-SA"/>
        </w:rPr>
        <w:t>©北大法宝：（</w:t>
      </w:r>
      <w:hyperlink r:id="rId17" w:history="1">
        <w:r w:rsidR="002516C6">
          <w:rPr>
            <w:rFonts w:eastAsia="Times New Roman"/>
            <w:color w:val="218FC4"/>
            <w:sz w:val="26"/>
            <w:szCs w:val="26"/>
            <w:u w:val="single" w:color="218FC4"/>
            <w:lang w:val="en-US" w:eastAsia="zh-CN" w:bidi="ar-SA"/>
          </w:rPr>
          <w:t>www.pkulaw.com</w:t>
        </w:r>
      </w:hyperlink>
      <w:r w:rsidR="002516C6">
        <w:rPr>
          <w:rFonts w:eastAsia="Times New Roman"/>
          <w:sz w:val="26"/>
          <w:szCs w:val="26"/>
          <w:lang w:val="en-US" w:eastAsia="zh-CN" w:bidi="ar-SA"/>
        </w:rPr>
        <w:t>）</w:t>
      </w:r>
      <w:r w:rsidR="002516C6">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8" w:tgtFrame="_blank" w:history="1">
        <w:r w:rsidR="002516C6">
          <w:rPr>
            <w:rFonts w:eastAsia="Times New Roman"/>
            <w:color w:val="218FC4"/>
            <w:sz w:val="26"/>
            <w:szCs w:val="26"/>
            <w:u w:val="single" w:color="218FC4"/>
            <w:lang w:val="en-US" w:eastAsia="zh-CN" w:bidi="ar-SA"/>
          </w:rPr>
          <w:t>产品和服务</w:t>
        </w:r>
      </w:hyperlink>
      <w:r w:rsidR="002516C6">
        <w:rPr>
          <w:rFonts w:eastAsia="Times New Roman"/>
          <w:sz w:val="26"/>
          <w:szCs w:val="26"/>
          <w:lang w:val="en-US" w:eastAsia="zh-CN" w:bidi="ar-SA"/>
        </w:rPr>
        <w:t>。</w:t>
      </w:r>
      <w:r w:rsidR="002516C6">
        <w:rPr>
          <w:rFonts w:eastAsia="Times New Roman"/>
          <w:sz w:val="26"/>
          <w:szCs w:val="26"/>
          <w:lang w:val="en-US" w:eastAsia="zh-CN" w:bidi="ar-SA"/>
        </w:rPr>
        <w:br/>
      </w:r>
      <w:hyperlink r:id="rId19" w:tgtFrame="_blank" w:history="1">
        <w:r w:rsidR="002516C6">
          <w:rPr>
            <w:rFonts w:eastAsia="Times New Roman"/>
            <w:color w:val="218FC4"/>
            <w:sz w:val="26"/>
            <w:szCs w:val="26"/>
            <w:u w:val="single" w:color="218FC4"/>
            <w:lang w:val="en-US" w:eastAsia="zh-CN" w:bidi="ar-SA"/>
          </w:rPr>
          <w:t>法宝快讯： 如何快速找到您需要的检索结果？ 法宝 V6 有何新特色？</w:t>
        </w:r>
      </w:hyperlink>
    </w:p>
    <w:p w14:paraId="5E63EC03" w14:textId="77777777" w:rsidR="00000000" w:rsidRDefault="002516C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3A621CC9" w14:textId="77777777" w:rsidR="00000000" w:rsidRDefault="002516C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0F721DC" w14:textId="77777777" w:rsidR="00000000" w:rsidRDefault="002516C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 xml:space="preserve">https://www.pkulaw.com/pfnl/a6bdb3332ec0adc4955b6f0c7776290898a079a6eae4e8aebdfb.html </w:t>
        </w:r>
      </w:hyperlink>
    </w:p>
    <w:p w14:paraId="03DAE2C5"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3B6C" w14:textId="77777777" w:rsidR="00000000" w:rsidRDefault="002516C6">
      <w:r>
        <w:separator/>
      </w:r>
    </w:p>
  </w:endnote>
  <w:endnote w:type="continuationSeparator" w:id="0">
    <w:p w14:paraId="19D6FB13" w14:textId="77777777" w:rsidR="00000000" w:rsidRDefault="0025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6C9BDFC" w14:textId="77777777">
      <w:trPr>
        <w:tblCellSpacing w:w="15" w:type="dxa"/>
      </w:trPr>
      <w:tc>
        <w:tcPr>
          <w:tcW w:w="1530" w:type="dxa"/>
          <w:tcMar>
            <w:top w:w="15" w:type="dxa"/>
            <w:left w:w="15" w:type="dxa"/>
            <w:bottom w:w="15" w:type="dxa"/>
            <w:right w:w="15" w:type="dxa"/>
          </w:tcMar>
          <w:vAlign w:val="center"/>
          <w:hideMark/>
        </w:tcPr>
        <w:p w14:paraId="2E5660A6" w14:textId="77777777" w:rsidR="00000000" w:rsidRDefault="002516C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2C69187" w14:textId="77777777" w:rsidR="00000000" w:rsidRDefault="002516C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w:t>
          </w:r>
          <w:r>
            <w:rPr>
              <w:rFonts w:ascii="宋体" w:eastAsia="宋体" w:hAnsi="宋体" w:cs="宋体"/>
              <w:color w:val="000000"/>
              <w:sz w:val="23"/>
              <w:szCs w:val="23"/>
              <w:lang w:val="en-US" w:eastAsia="zh-CN" w:bidi="ar-SA"/>
            </w:rPr>
            <w:t>23-11-21</w:t>
          </w:r>
        </w:p>
      </w:tc>
    </w:tr>
  </w:tbl>
  <w:p w14:paraId="148A5380" w14:textId="77777777" w:rsidR="00000000" w:rsidRDefault="002516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5DFA" w14:textId="77777777" w:rsidR="00000000" w:rsidRDefault="002516C6">
      <w:r>
        <w:separator/>
      </w:r>
    </w:p>
  </w:footnote>
  <w:footnote w:type="continuationSeparator" w:id="0">
    <w:p w14:paraId="5A4C438C" w14:textId="77777777" w:rsidR="00000000" w:rsidRDefault="0025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A433B2B" w14:textId="77777777">
      <w:trPr>
        <w:tblCellSpacing w:w="15" w:type="dxa"/>
      </w:trPr>
      <w:tc>
        <w:tcPr>
          <w:tcW w:w="0" w:type="auto"/>
          <w:tcMar>
            <w:top w:w="15" w:type="dxa"/>
            <w:left w:w="15" w:type="dxa"/>
            <w:bottom w:w="15" w:type="dxa"/>
            <w:right w:w="15" w:type="dxa"/>
          </w:tcMar>
          <w:vAlign w:val="center"/>
          <w:hideMark/>
        </w:tcPr>
        <w:p w14:paraId="08FE97BC" w14:textId="77777777" w:rsidR="00000000" w:rsidRDefault="002516C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A0FC69D" w14:textId="77777777" w:rsidR="00000000" w:rsidRDefault="002516C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CLI.C.94050193</w:t>
          </w:r>
        </w:p>
      </w:tc>
    </w:tr>
  </w:tbl>
  <w:p w14:paraId="4041BB0F" w14:textId="77777777" w:rsidR="00000000" w:rsidRDefault="002516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516C6"/>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CD418"/>
  <w15:chartTrackingRefBased/>
  <w15:docId w15:val="{6B846870-46D0-4142-B71D-81C59501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516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516C6"/>
    <w:rPr>
      <w:sz w:val="18"/>
      <w:szCs w:val="18"/>
    </w:rPr>
  </w:style>
  <w:style w:type="paragraph" w:styleId="a5">
    <w:name w:val="footer"/>
    <w:basedOn w:val="a"/>
    <w:link w:val="a6"/>
    <w:rsid w:val="002516C6"/>
    <w:pPr>
      <w:tabs>
        <w:tab w:val="center" w:pos="4153"/>
        <w:tab w:val="right" w:pos="8306"/>
      </w:tabs>
      <w:snapToGrid w:val="0"/>
    </w:pPr>
    <w:rPr>
      <w:sz w:val="18"/>
      <w:szCs w:val="18"/>
    </w:rPr>
  </w:style>
  <w:style w:type="character" w:customStyle="1" w:styleId="a6">
    <w:name w:val="页脚 字符"/>
    <w:basedOn w:val="a0"/>
    <w:link w:val="a5"/>
    <w:rsid w:val="00251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a6bdb3332ec0adc4955b6f0c7776290898a079a6eae4e8aebdfb.html"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