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EC5E6" w14:textId="77777777" w:rsidR="00000000" w:rsidRDefault="00AD4DBD">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诸葛海哨诉陈文逸民间借贷纠纷案</w:t>
      </w:r>
    </w:p>
    <w:p w14:paraId="39EAD309" w14:textId="77777777" w:rsidR="00000000" w:rsidRDefault="00AD4DBD">
      <w:pPr>
        <w:ind w:left="375" w:right="375"/>
        <w:rPr>
          <w:rFonts w:ascii="Arial" w:eastAsia="Arial" w:hAnsi="Arial" w:cs="Arial"/>
          <w:lang w:val="en-US" w:eastAsia="zh-CN" w:bidi="ar-SA"/>
        </w:rPr>
      </w:pPr>
      <w:r>
        <w:rPr>
          <w:rFonts w:ascii="Arial" w:eastAsia="Arial" w:hAnsi="Arial" w:cs="Arial"/>
          <w:lang w:val="en-US" w:eastAsia="zh-CN" w:bidi="ar-SA"/>
        </w:rPr>
        <w:br/>
      </w:r>
    </w:p>
    <w:p w14:paraId="00AEC8E1" w14:textId="77777777" w:rsidR="00000000" w:rsidRDefault="00AD4DBD">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诸葛海哨诉陈文逸民间借贷纠纷案</w:t>
      </w:r>
    </w:p>
    <w:p w14:paraId="4C5D1397" w14:textId="77777777" w:rsidR="00000000" w:rsidRDefault="00AD4DBD">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浙江省温州市瓯海区人民法院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29C55602" w14:textId="77777777" w:rsidR="00000000" w:rsidRDefault="00AD4DBD">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(2016)</w:t>
      </w:r>
      <w:r>
        <w:rPr>
          <w:rStyle w:val="span"/>
          <w:rFonts w:ascii="宋体" w:eastAsia="宋体" w:hAnsi="宋体" w:cs="宋体"/>
          <w:color w:val="000000"/>
          <w:sz w:val="27"/>
          <w:szCs w:val="27"/>
          <w:lang w:val="en-US" w:eastAsia="zh-CN" w:bidi="ar-SA"/>
        </w:rPr>
        <w:t>浙</w:t>
      </w:r>
      <w:r>
        <w:rPr>
          <w:rStyle w:val="span"/>
          <w:rFonts w:ascii="宋体" w:eastAsia="宋体" w:hAnsi="宋体" w:cs="宋体"/>
          <w:color w:val="000000"/>
          <w:sz w:val="27"/>
          <w:szCs w:val="27"/>
          <w:lang w:val="en-US" w:eastAsia="zh-CN" w:bidi="ar-SA"/>
        </w:rPr>
        <w:t>0304</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5357</w:t>
      </w:r>
      <w:r>
        <w:rPr>
          <w:rStyle w:val="span"/>
          <w:rFonts w:ascii="宋体" w:eastAsia="宋体" w:hAnsi="宋体" w:cs="宋体"/>
          <w:color w:val="000000"/>
          <w:sz w:val="27"/>
          <w:szCs w:val="27"/>
          <w:lang w:val="en-US" w:eastAsia="zh-CN" w:bidi="ar-SA"/>
        </w:rPr>
        <w:t>号</w:t>
      </w:r>
    </w:p>
    <w:p w14:paraId="12815AFA" w14:textId="77777777" w:rsidR="00000000" w:rsidRDefault="00AD4DBD">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原告：诸葛海哨。</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被告：陈文逸。</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原告诸葛海哨为与被告陈文逸民间借贷纠纷一案，于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日向法院提起诉讼，诉请：被告陈文逸偿还原告借款本金</w:t>
      </w:r>
      <w:r>
        <w:rPr>
          <w:rFonts w:ascii="宋体" w:eastAsia="宋体" w:hAnsi="宋体" w:cs="宋体"/>
          <w:color w:val="000000"/>
          <w:sz w:val="27"/>
          <w:szCs w:val="27"/>
          <w:lang w:val="en-US" w:eastAsia="zh-CN" w:bidi="ar-SA"/>
        </w:rPr>
        <w:t>60000</w:t>
      </w:r>
      <w:r>
        <w:rPr>
          <w:rFonts w:ascii="宋体" w:eastAsia="宋体" w:hAnsi="宋体" w:cs="宋体"/>
          <w:color w:val="000000"/>
          <w:sz w:val="27"/>
          <w:szCs w:val="27"/>
          <w:lang w:val="en-US" w:eastAsia="zh-CN" w:bidi="ar-SA"/>
        </w:rPr>
        <w:t>元。本院受理后，依法适用简易程序，于同年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日公开开庭进行了审理，并当庭宣告判决。原告诸葛海哨到庭参加诉讼。被告陈文逸经本院合法传唤无正当理由拒不到庭。</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1" w:name="anchor-2"/>
      <w:bookmarkEnd w:id="1"/>
      <w:r>
        <w:rPr>
          <w:rFonts w:ascii="宋体" w:eastAsia="宋体" w:hAnsi="宋体" w:cs="宋体"/>
          <w:color w:val="000000"/>
          <w:sz w:val="27"/>
          <w:szCs w:val="27"/>
          <w:lang w:val="en-US" w:eastAsia="zh-CN" w:bidi="ar-SA"/>
        </w:rPr>
        <w:t xml:space="preserve">　　本院经审理认定：</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010</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日，被告陈文逸向原告诸葛海哨借款</w:t>
      </w:r>
      <w:r>
        <w:rPr>
          <w:rFonts w:ascii="宋体" w:eastAsia="宋体" w:hAnsi="宋体" w:cs="宋体"/>
          <w:color w:val="000000"/>
          <w:sz w:val="27"/>
          <w:szCs w:val="27"/>
          <w:lang w:val="en-US" w:eastAsia="zh-CN" w:bidi="ar-SA"/>
        </w:rPr>
        <w:t>60000</w:t>
      </w:r>
      <w:r>
        <w:rPr>
          <w:rFonts w:ascii="宋体" w:eastAsia="宋体" w:hAnsi="宋体" w:cs="宋体"/>
          <w:color w:val="000000"/>
          <w:sz w:val="27"/>
          <w:szCs w:val="27"/>
          <w:lang w:val="en-US" w:eastAsia="zh-CN" w:bidi="ar-SA"/>
        </w:rPr>
        <w:t>元，并出具借款借据；原告诸葛海哨于当日以银行转账方式实际交付</w:t>
      </w:r>
      <w:r>
        <w:rPr>
          <w:rFonts w:ascii="宋体" w:eastAsia="宋体" w:hAnsi="宋体" w:cs="宋体"/>
          <w:color w:val="000000"/>
          <w:sz w:val="27"/>
          <w:szCs w:val="27"/>
          <w:lang w:val="en-US" w:eastAsia="zh-CN" w:bidi="ar-SA"/>
        </w:rPr>
        <w:t>57000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本院依照《</w:t>
      </w:r>
      <w:hyperlink r:id="rId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8"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w:t>
      </w:r>
      <w:hyperlink r:id="rId9"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0"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2" w:name="anchor-1"/>
      <w:bookmarkEnd w:id="2"/>
      <w:r>
        <w:rPr>
          <w:rFonts w:ascii="宋体" w:eastAsia="宋体" w:hAnsi="宋体" w:cs="宋体"/>
          <w:color w:val="000000"/>
          <w:sz w:val="27"/>
          <w:szCs w:val="27"/>
          <w:lang w:val="en-US" w:eastAsia="zh-CN" w:bidi="ar-SA"/>
        </w:rPr>
        <w:t xml:space="preserve">　　一、被告陈文逸应于本判决生效之日起十日内支付原告诸葛海哨</w:t>
      </w:r>
      <w:r>
        <w:rPr>
          <w:rFonts w:ascii="宋体" w:eastAsia="宋体" w:hAnsi="宋体" w:cs="宋体"/>
          <w:color w:val="000000"/>
          <w:sz w:val="27"/>
          <w:szCs w:val="27"/>
          <w:lang w:val="en-US" w:eastAsia="zh-CN" w:bidi="ar-SA"/>
        </w:rPr>
        <w:t>借款</w:t>
      </w:r>
      <w:r>
        <w:rPr>
          <w:rFonts w:ascii="宋体" w:eastAsia="宋体" w:hAnsi="宋体" w:cs="宋体"/>
          <w:color w:val="000000"/>
          <w:sz w:val="27"/>
          <w:szCs w:val="27"/>
          <w:lang w:val="en-US" w:eastAsia="zh-CN" w:bidi="ar-SA"/>
        </w:rPr>
        <w:t>57000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二、驳回原告诸葛海哨的其他诉讼请求。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1"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2"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lastRenderedPageBreak/>
        <w:t xml:space="preserve">　　本案受理费</w:t>
      </w:r>
      <w:r>
        <w:rPr>
          <w:rFonts w:ascii="宋体" w:eastAsia="宋体" w:hAnsi="宋体" w:cs="宋体"/>
          <w:color w:val="000000"/>
          <w:sz w:val="27"/>
          <w:szCs w:val="27"/>
          <w:lang w:val="en-US" w:eastAsia="zh-CN" w:bidi="ar-SA"/>
        </w:rPr>
        <w:t>1300</w:t>
      </w:r>
      <w:r>
        <w:rPr>
          <w:rFonts w:ascii="宋体" w:eastAsia="宋体" w:hAnsi="宋体" w:cs="宋体"/>
          <w:color w:val="000000"/>
          <w:sz w:val="27"/>
          <w:szCs w:val="27"/>
          <w:lang w:val="en-US" w:eastAsia="zh-CN" w:bidi="ar-SA"/>
        </w:rPr>
        <w:t>元，减半收取计</w:t>
      </w:r>
      <w:r>
        <w:rPr>
          <w:rFonts w:ascii="宋体" w:eastAsia="宋体" w:hAnsi="宋体" w:cs="宋体"/>
          <w:color w:val="000000"/>
          <w:sz w:val="27"/>
          <w:szCs w:val="27"/>
          <w:lang w:val="en-US" w:eastAsia="zh-CN" w:bidi="ar-SA"/>
        </w:rPr>
        <w:t>650</w:t>
      </w:r>
      <w:r>
        <w:rPr>
          <w:rFonts w:ascii="宋体" w:eastAsia="宋体" w:hAnsi="宋体" w:cs="宋体"/>
          <w:color w:val="000000"/>
          <w:sz w:val="27"/>
          <w:szCs w:val="27"/>
          <w:lang w:val="en-US" w:eastAsia="zh-CN" w:bidi="ar-SA"/>
        </w:rPr>
        <w:t>元，由被告陈文逸负担。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如不服本判决，可在判决书送达之日起十五日内，向本院递交上诉状，并按对方当事人的人数提出副本，上诉于浙江省温州市中级人民法院。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3" w:name="anchor-3"/>
      <w:bookmarkEnd w:id="3"/>
    </w:p>
    <w:p w14:paraId="078BF0E8" w14:textId="77777777" w:rsidR="00000000" w:rsidRDefault="00AD4DBD">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审判员　　梅盈碧</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w:t>
      </w:r>
      <w:r>
        <w:rPr>
          <w:rFonts w:ascii="宋体" w:eastAsia="宋体" w:hAnsi="宋体" w:cs="宋体"/>
          <w:color w:val="000000"/>
          <w:sz w:val="27"/>
          <w:szCs w:val="27"/>
          <w:lang w:val="en-US" w:eastAsia="zh-CN" w:bidi="ar-SA"/>
        </w:rPr>
        <w:t>Ο</w:t>
      </w:r>
      <w:r>
        <w:rPr>
          <w:rFonts w:ascii="宋体" w:eastAsia="宋体" w:hAnsi="宋体" w:cs="宋体"/>
          <w:color w:val="000000"/>
          <w:sz w:val="27"/>
          <w:szCs w:val="27"/>
          <w:lang w:val="en-US" w:eastAsia="zh-CN" w:bidi="ar-SA"/>
        </w:rPr>
        <w:t>一六年十二月六日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代书记员陈勇</w:t>
      </w:r>
    </w:p>
    <w:p w14:paraId="1EA59DB8" w14:textId="77777777" w:rsidR="00000000" w:rsidRDefault="00AD4DBD">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4" w:name="anchor-4"/>
      <w:bookmarkEnd w:id="4"/>
      <w:r>
        <w:rPr>
          <w:rFonts w:ascii="宋体" w:eastAsia="宋体" w:hAnsi="宋体" w:cs="宋体"/>
          <w:color w:val="000000"/>
          <w:sz w:val="27"/>
          <w:szCs w:val="27"/>
          <w:lang w:val="en-US" w:eastAsia="zh-CN" w:bidi="ar-SA"/>
        </w:rPr>
        <w:t>附告：判决适用的法律条文及当事人应知的相关事项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一、判决适用的法律条文</w:t>
      </w:r>
      <w:r>
        <w:rPr>
          <w:rFonts w:ascii="宋体" w:eastAsia="宋体" w:hAnsi="宋体" w:cs="宋体"/>
          <w:color w:val="000000"/>
          <w:sz w:val="27"/>
          <w:szCs w:val="27"/>
          <w:lang w:val="en-US" w:eastAsia="zh-CN" w:bidi="ar-SA"/>
        </w:rPr>
        <w:br/>
        <w:t>1.</w:t>
      </w:r>
      <w:r>
        <w:rPr>
          <w:rFonts w:ascii="宋体" w:eastAsia="宋体" w:hAnsi="宋体" w:cs="宋体"/>
          <w:color w:val="000000"/>
          <w:sz w:val="27"/>
          <w:szCs w:val="27"/>
          <w:lang w:val="en-US" w:eastAsia="zh-CN" w:bidi="ar-SA"/>
        </w:rPr>
        <w:t>《</w:t>
      </w:r>
      <w:hyperlink r:id="rId13"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t>2.</w:t>
      </w:r>
      <w:hyperlink r:id="rId14"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w:t>
      </w:r>
      <w:r>
        <w:rPr>
          <w:rFonts w:ascii="宋体" w:eastAsia="宋体" w:hAnsi="宋体" w:cs="宋体"/>
          <w:color w:val="000000"/>
          <w:sz w:val="27"/>
          <w:szCs w:val="27"/>
          <w:lang w:val="en-US" w:eastAsia="zh-CN" w:bidi="ar-SA"/>
        </w:rPr>
        <w:t>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二、当事人应知的相关事项</w:t>
      </w:r>
      <w:r>
        <w:rPr>
          <w:rFonts w:ascii="宋体" w:eastAsia="宋体" w:hAnsi="宋体" w:cs="宋体"/>
          <w:color w:val="000000"/>
          <w:sz w:val="27"/>
          <w:szCs w:val="27"/>
          <w:lang w:val="en-US" w:eastAsia="zh-CN" w:bidi="ar-SA"/>
        </w:rPr>
        <w:br/>
        <w:t>1.</w:t>
      </w:r>
      <w:r>
        <w:rPr>
          <w:rFonts w:ascii="宋体" w:eastAsia="宋体" w:hAnsi="宋体" w:cs="宋体"/>
          <w:color w:val="000000"/>
          <w:sz w:val="27"/>
          <w:szCs w:val="27"/>
          <w:lang w:val="en-US" w:eastAsia="zh-CN" w:bidi="ar-SA"/>
        </w:rPr>
        <w:t>上诉人应按一审案件受理费标准预交上诉案件受理费（对财产案件提起上诉的，按照不服一审判决部分的上诉请求数额交纳案件受理费），在向人民法院提交上诉状时预交到温州市中级人民法院，或通过农业银行电汇至浙江省温州市财政局非税收入结算户，开户银行：农行温州市分行，帐号：</w:t>
      </w:r>
      <w:r>
        <w:rPr>
          <w:rFonts w:ascii="宋体" w:eastAsia="宋体" w:hAnsi="宋体" w:cs="宋体"/>
          <w:color w:val="000000"/>
          <w:sz w:val="27"/>
          <w:szCs w:val="27"/>
          <w:lang w:val="en-US" w:eastAsia="zh-CN" w:bidi="ar-SA"/>
        </w:rPr>
        <w:t>192999010400031950013</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t>2.</w:t>
      </w:r>
      <w:r>
        <w:rPr>
          <w:rFonts w:ascii="宋体" w:eastAsia="宋体" w:hAnsi="宋体" w:cs="宋体"/>
          <w:color w:val="000000"/>
          <w:sz w:val="27"/>
          <w:szCs w:val="27"/>
          <w:lang w:val="en-US" w:eastAsia="zh-CN" w:bidi="ar-SA"/>
        </w:rPr>
        <w:t>当事人一般应自案件裁判文书生效后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日内向人民法院领取裁判文书生效通知书。</w:t>
      </w:r>
      <w:r>
        <w:rPr>
          <w:rFonts w:ascii="宋体" w:eastAsia="宋体" w:hAnsi="宋体" w:cs="宋体"/>
          <w:color w:val="000000"/>
          <w:sz w:val="27"/>
          <w:szCs w:val="27"/>
          <w:lang w:val="en-US" w:eastAsia="zh-CN" w:bidi="ar-SA"/>
        </w:rPr>
        <w:br/>
        <w:t>3.</w:t>
      </w:r>
      <w:r>
        <w:rPr>
          <w:rFonts w:ascii="宋体" w:eastAsia="宋体" w:hAnsi="宋体" w:cs="宋体"/>
          <w:color w:val="000000"/>
          <w:sz w:val="27"/>
          <w:szCs w:val="27"/>
          <w:lang w:val="en-US" w:eastAsia="zh-CN" w:bidi="ar-SA"/>
        </w:rPr>
        <w:t>需要退还诉讼费用的，当事人应在裁判文书生效后</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日内来院办理诉讼费用</w:t>
      </w:r>
      <w:r>
        <w:rPr>
          <w:rFonts w:ascii="宋体" w:eastAsia="宋体" w:hAnsi="宋体" w:cs="宋体"/>
          <w:color w:val="000000"/>
          <w:sz w:val="27"/>
          <w:szCs w:val="27"/>
          <w:lang w:val="en-US" w:eastAsia="zh-CN" w:bidi="ar-SA"/>
        </w:rPr>
        <w:t>退费手续。</w:t>
      </w:r>
      <w:r>
        <w:rPr>
          <w:rFonts w:ascii="宋体" w:eastAsia="宋体" w:hAnsi="宋体" w:cs="宋体"/>
          <w:color w:val="000000"/>
          <w:sz w:val="27"/>
          <w:szCs w:val="27"/>
          <w:lang w:val="en-US" w:eastAsia="zh-CN" w:bidi="ar-SA"/>
        </w:rPr>
        <w:br/>
        <w:t>4.</w:t>
      </w:r>
      <w:r>
        <w:rPr>
          <w:rFonts w:ascii="宋体" w:eastAsia="宋体" w:hAnsi="宋体" w:cs="宋体"/>
          <w:color w:val="000000"/>
          <w:sz w:val="27"/>
          <w:szCs w:val="27"/>
          <w:lang w:val="en-US" w:eastAsia="zh-CN" w:bidi="ar-SA"/>
        </w:rPr>
        <w:t>根据法律、司法解释的规定，发生法律效力的民事判决、裁定、调解书，当事人必须履行。被执行人未按法律文书指定的期间履行给付金钱义务的，应当加倍支付迟延履行期间的债务利息，未按法律文书指定的期间履行其他义务的，应当支付迟延履行金。</w:t>
      </w:r>
      <w:r>
        <w:rPr>
          <w:rFonts w:ascii="宋体" w:eastAsia="宋体" w:hAnsi="宋体" w:cs="宋体"/>
          <w:color w:val="000000"/>
          <w:sz w:val="27"/>
          <w:szCs w:val="27"/>
          <w:lang w:val="en-US" w:eastAsia="zh-CN" w:bidi="ar-SA"/>
        </w:rPr>
        <w:br/>
        <w:t>5.</w:t>
      </w:r>
      <w:r>
        <w:rPr>
          <w:rFonts w:ascii="宋体" w:eastAsia="宋体" w:hAnsi="宋体" w:cs="宋体"/>
          <w:color w:val="000000"/>
          <w:sz w:val="27"/>
          <w:szCs w:val="27"/>
          <w:lang w:val="en-US" w:eastAsia="zh-CN" w:bidi="ar-SA"/>
        </w:rPr>
        <w:t>当事人一方拒绝履行的，对方当事人可以在履行期限届满后的二年内向第一审人民法院申请执行。申请执行人超过申请执行时效期间向人民法院申请强制执行的，人民法院应予受理。被执行人对申请执行时效期间提出异议，人民法院经审查异议成立的，裁定不予执行。</w:t>
      </w:r>
      <w:r>
        <w:rPr>
          <w:rFonts w:ascii="宋体" w:eastAsia="宋体" w:hAnsi="宋体" w:cs="宋体"/>
          <w:color w:val="000000"/>
          <w:sz w:val="27"/>
          <w:szCs w:val="27"/>
          <w:lang w:val="en-US" w:eastAsia="zh-CN" w:bidi="ar-SA"/>
        </w:rPr>
        <w:br/>
        <w:t>6.</w:t>
      </w:r>
      <w:r>
        <w:rPr>
          <w:rFonts w:ascii="宋体" w:eastAsia="宋体" w:hAnsi="宋体" w:cs="宋体"/>
          <w:color w:val="000000"/>
          <w:sz w:val="27"/>
          <w:szCs w:val="27"/>
          <w:lang w:val="en-US" w:eastAsia="zh-CN" w:bidi="ar-SA"/>
        </w:rPr>
        <w:t>拒不履行人民法院已经发生</w:t>
      </w:r>
      <w:r>
        <w:rPr>
          <w:rFonts w:ascii="宋体" w:eastAsia="宋体" w:hAnsi="宋体" w:cs="宋体"/>
          <w:color w:val="000000"/>
          <w:sz w:val="27"/>
          <w:szCs w:val="27"/>
          <w:lang w:val="en-US" w:eastAsia="zh-CN" w:bidi="ar-SA"/>
        </w:rPr>
        <w:t>法律效力的判决、裁定的；隐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r>
        <w:rPr>
          <w:rFonts w:ascii="宋体" w:eastAsia="宋体" w:hAnsi="宋体" w:cs="宋体"/>
          <w:color w:val="000000"/>
          <w:sz w:val="27"/>
          <w:szCs w:val="27"/>
          <w:lang w:val="en-US" w:eastAsia="zh-CN" w:bidi="ar-SA"/>
        </w:rPr>
        <w:t xml:space="preserve"> </w:t>
      </w:r>
    </w:p>
    <w:p w14:paraId="52A0607A" w14:textId="77777777" w:rsidR="00000000" w:rsidRDefault="00AD4DBD">
      <w:pPr>
        <w:ind w:left="375" w:right="375"/>
        <w:rPr>
          <w:rFonts w:ascii="Arial" w:eastAsia="Arial" w:hAnsi="Arial" w:cs="Arial"/>
          <w:lang w:val="en-US" w:eastAsia="zh-CN" w:bidi="ar-SA"/>
        </w:rPr>
      </w:pPr>
      <w:r>
        <w:rPr>
          <w:rFonts w:ascii="Arial" w:eastAsia="Arial" w:hAnsi="Arial" w:cs="Arial"/>
          <w:lang w:val="en-US" w:eastAsia="zh-CN" w:bidi="ar-SA"/>
        </w:rPr>
        <w:br/>
      </w:r>
    </w:p>
    <w:p w14:paraId="6DA210D8" w14:textId="77777777" w:rsidR="00000000" w:rsidRDefault="00A77B3E">
      <w:pPr>
        <w:spacing w:line="630" w:lineRule="atLeast"/>
        <w:rPr>
          <w:rFonts w:eastAsia="Times New Roman"/>
          <w:sz w:val="26"/>
          <w:szCs w:val="26"/>
          <w:lang w:val="en-US" w:eastAsia="zh-CN" w:bidi="ar-SA"/>
        </w:rPr>
      </w:pPr>
      <w:r>
        <w:br w:type="page"/>
      </w:r>
      <w:r w:rsidR="00AD4DBD">
        <w:rPr>
          <w:rFonts w:eastAsia="Times New Roman"/>
          <w:sz w:val="26"/>
          <w:szCs w:val="26"/>
          <w:lang w:val="en-US" w:eastAsia="zh-CN" w:bidi="ar-SA"/>
        </w:rPr>
        <w:t>©北大法宝：（</w:t>
      </w:r>
      <w:hyperlink r:id="rId15" w:history="1">
        <w:r w:rsidR="00AD4DBD">
          <w:rPr>
            <w:rFonts w:eastAsia="Times New Roman"/>
            <w:color w:val="218FC4"/>
            <w:sz w:val="26"/>
            <w:szCs w:val="26"/>
            <w:u w:val="single" w:color="218FC4"/>
            <w:lang w:val="en-US" w:eastAsia="zh-CN" w:bidi="ar-SA"/>
          </w:rPr>
          <w:t>www.pkulaw.com</w:t>
        </w:r>
      </w:hyperlink>
      <w:r w:rsidR="00AD4DBD">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w:t>
      </w:r>
      <w:r w:rsidR="00AD4DBD">
        <w:rPr>
          <w:rFonts w:eastAsia="Times New Roman"/>
          <w:sz w:val="26"/>
          <w:szCs w:val="26"/>
          <w:lang w:val="en-US" w:eastAsia="zh-CN" w:bidi="ar-SA"/>
        </w:rPr>
        <w:t>有</w:t>
      </w:r>
      <w:hyperlink r:id="rId16" w:tgtFrame="_blank" w:history="1">
        <w:r w:rsidR="00AD4DBD">
          <w:rPr>
            <w:rFonts w:eastAsia="Times New Roman"/>
            <w:color w:val="218FC4"/>
            <w:sz w:val="26"/>
            <w:szCs w:val="26"/>
            <w:u w:val="single" w:color="218FC4"/>
            <w:lang w:val="en-US" w:eastAsia="zh-CN" w:bidi="ar-SA"/>
          </w:rPr>
          <w:t>产品和服务</w:t>
        </w:r>
      </w:hyperlink>
      <w:r w:rsidR="00AD4DBD">
        <w:rPr>
          <w:rFonts w:eastAsia="Times New Roman"/>
          <w:sz w:val="26"/>
          <w:szCs w:val="26"/>
          <w:lang w:val="en-US" w:eastAsia="zh-CN" w:bidi="ar-SA"/>
        </w:rPr>
        <w:t>。</w:t>
      </w:r>
      <w:r w:rsidR="00AD4DBD">
        <w:rPr>
          <w:rFonts w:eastAsia="Times New Roman"/>
          <w:sz w:val="26"/>
          <w:szCs w:val="26"/>
          <w:lang w:val="en-US" w:eastAsia="zh-CN" w:bidi="ar-SA"/>
        </w:rPr>
        <w:br/>
      </w:r>
      <w:hyperlink r:id="rId17" w:tgtFrame="_blank" w:history="1">
        <w:r w:rsidR="00AD4DBD">
          <w:rPr>
            <w:rFonts w:eastAsia="Times New Roman"/>
            <w:color w:val="218FC4"/>
            <w:sz w:val="26"/>
            <w:szCs w:val="26"/>
            <w:u w:val="single" w:color="218FC4"/>
            <w:lang w:val="en-US" w:eastAsia="zh-CN" w:bidi="ar-SA"/>
          </w:rPr>
          <w:t>法宝快讯： 如何快速找到您需要的检索结果？ 法宝 V6 有何新特色？</w:t>
        </w:r>
      </w:hyperlink>
    </w:p>
    <w:p w14:paraId="7D6D1737" w14:textId="77777777" w:rsidR="00000000" w:rsidRDefault="00AD4DBD">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18" o:title=""/>
          </v:shape>
        </w:pict>
      </w:r>
    </w:p>
    <w:p w14:paraId="5D2096C9" w14:textId="77777777" w:rsidR="00000000" w:rsidRDefault="00AD4DBD">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464575F6" w14:textId="77777777" w:rsidR="00000000" w:rsidRDefault="00AD4DBD">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19" w:tgtFrame="_blank" w:history="1">
        <w:r>
          <w:rPr>
            <w:rFonts w:eastAsia="Times New Roman"/>
            <w:color w:val="000000"/>
            <w:sz w:val="26"/>
            <w:szCs w:val="26"/>
            <w:u w:val="single" w:color="000000"/>
            <w:lang w:val="en-US" w:eastAsia="zh-CN" w:bidi="ar-SA"/>
          </w:rPr>
          <w:t xml:space="preserve">https://www.pkulaw.com/pfnl/a25051f3312b07f3498519a0df25cf43825d82a993592bbebdfb.html </w:t>
        </w:r>
      </w:hyperlink>
    </w:p>
    <w:p w14:paraId="71CB2925" w14:textId="77777777" w:rsidR="00A77B3E" w:rsidRDefault="00A77B3E"/>
    <w:sectPr w:rsidR="00A77B3E">
      <w:headerReference w:type="default" r:id="rId20"/>
      <w:footerReference w:type="default" r:id="rId21"/>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DB214" w14:textId="77777777" w:rsidR="00000000" w:rsidRDefault="00AD4DBD">
      <w:r>
        <w:separator/>
      </w:r>
    </w:p>
  </w:endnote>
  <w:endnote w:type="continuationSeparator" w:id="0">
    <w:p w14:paraId="568BA21D" w14:textId="77777777" w:rsidR="00000000" w:rsidRDefault="00AD4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77103F1B" w14:textId="77777777">
      <w:trPr>
        <w:tblCellSpacing w:w="15" w:type="dxa"/>
      </w:trPr>
      <w:tc>
        <w:tcPr>
          <w:tcW w:w="1530" w:type="dxa"/>
          <w:tcMar>
            <w:top w:w="15" w:type="dxa"/>
            <w:left w:w="15" w:type="dxa"/>
            <w:bottom w:w="15" w:type="dxa"/>
            <w:right w:w="15" w:type="dxa"/>
          </w:tcMar>
          <w:vAlign w:val="center"/>
          <w:hideMark/>
        </w:tcPr>
        <w:p w14:paraId="6FADEFFE" w14:textId="77777777" w:rsidR="00000000" w:rsidRDefault="00AD4DBD">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7EDCC8CC" w14:textId="77777777" w:rsidR="00000000" w:rsidRDefault="00AD4DBD">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4551D888" w14:textId="77777777" w:rsidR="00000000" w:rsidRDefault="00AD4D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654EC" w14:textId="77777777" w:rsidR="00000000" w:rsidRDefault="00AD4DBD">
      <w:r>
        <w:separator/>
      </w:r>
    </w:p>
  </w:footnote>
  <w:footnote w:type="continuationSeparator" w:id="0">
    <w:p w14:paraId="0BD5A3C1" w14:textId="77777777" w:rsidR="00000000" w:rsidRDefault="00AD4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404145B7" w14:textId="77777777">
      <w:trPr>
        <w:tblCellSpacing w:w="15" w:type="dxa"/>
      </w:trPr>
      <w:tc>
        <w:tcPr>
          <w:tcW w:w="0" w:type="auto"/>
          <w:tcMar>
            <w:top w:w="15" w:type="dxa"/>
            <w:left w:w="15" w:type="dxa"/>
            <w:bottom w:w="15" w:type="dxa"/>
            <w:right w:w="15" w:type="dxa"/>
          </w:tcMar>
          <w:vAlign w:val="center"/>
          <w:hideMark/>
        </w:tcPr>
        <w:p w14:paraId="6A3B5FEB" w14:textId="77777777" w:rsidR="00000000" w:rsidRDefault="00AD4DBD">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02DBAB24" w14:textId="77777777" w:rsidR="00000000" w:rsidRDefault="00AD4DBD">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CLI.C.36499764</w:t>
          </w:r>
        </w:p>
      </w:tc>
    </w:tr>
  </w:tbl>
  <w:p w14:paraId="231C5BD2" w14:textId="77777777" w:rsidR="00000000" w:rsidRDefault="00AD4D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AD4DBD"/>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185265"/>
  <w15:chartTrackingRefBased/>
  <w15:docId w15:val="{4D7535BE-D6FB-4B27-B0D0-3E0E6A1B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AD4D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D4DBD"/>
    <w:rPr>
      <w:sz w:val="18"/>
      <w:szCs w:val="18"/>
    </w:rPr>
  </w:style>
  <w:style w:type="paragraph" w:styleId="a5">
    <w:name w:val="footer"/>
    <w:basedOn w:val="a"/>
    <w:link w:val="a6"/>
    <w:rsid w:val="00AD4DBD"/>
    <w:pPr>
      <w:tabs>
        <w:tab w:val="center" w:pos="4153"/>
        <w:tab w:val="right" w:pos="8306"/>
      </w:tabs>
      <w:snapToGrid w:val="0"/>
    </w:pPr>
    <w:rPr>
      <w:sz w:val="18"/>
      <w:szCs w:val="18"/>
    </w:rPr>
  </w:style>
  <w:style w:type="character" w:customStyle="1" w:styleId="a6">
    <w:name w:val="页脚 字符"/>
    <w:basedOn w:val="a0"/>
    <w:link w:val="a5"/>
    <w:rsid w:val="00AD4D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2367b1767194112cbdfb.html?way=textSlc"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pkulaw.com/chl/2367b1767194112cbdfb.html?way=textSlc" TargetMode="External"/><Relationship Id="rId12" Type="http://schemas.openxmlformats.org/officeDocument/2006/relationships/hyperlink" Target="https://www.pkulaw.com/chl/68957aaf4c3a793dbdfb.html?way=textSlc" TargetMode="External"/><Relationship Id="rId17" Type="http://schemas.openxmlformats.org/officeDocument/2006/relationships/hyperlink" Target="http://www.pkulaw.com/helps/69.html" TargetMode="External"/><Relationship Id="rId2" Type="http://schemas.openxmlformats.org/officeDocument/2006/relationships/styles" Target="styles.xml"/><Relationship Id="rId16" Type="http://schemas.openxmlformats.org/officeDocument/2006/relationships/hyperlink" Target="http://www.pkulaw.ne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68957aaf4c3a793dbdfb.html?way=textSlc" TargetMode="External"/><Relationship Id="rId5" Type="http://schemas.openxmlformats.org/officeDocument/2006/relationships/footnotes" Target="footnotes.xml"/><Relationship Id="rId15" Type="http://schemas.openxmlformats.org/officeDocument/2006/relationships/hyperlink" Target="https://www.pkulaw.com" TargetMode="External"/><Relationship Id="rId23" Type="http://schemas.openxmlformats.org/officeDocument/2006/relationships/theme" Target="theme/theme1.xml"/><Relationship Id="rId10" Type="http://schemas.openxmlformats.org/officeDocument/2006/relationships/hyperlink" Target="https://www.pkulaw.com/chl/68957aaf4c3a793dbdfb.html?way=textSlc" TargetMode="External"/><Relationship Id="rId19" Type="http://schemas.openxmlformats.org/officeDocument/2006/relationships/hyperlink" Target="https://www.pkulaw.com/pfnl/a25051f3312b07f3498519a0df25cf43825d82a993592bbebdfb.html" TargetMode="External"/><Relationship Id="rId4" Type="http://schemas.openxmlformats.org/officeDocument/2006/relationships/webSettings" Target="webSettings.xml"/><Relationship Id="rId9" Type="http://schemas.openxmlformats.org/officeDocument/2006/relationships/hyperlink" Target="https://www.pkulaw.com/chl/68957aaf4c3a793dbdfb.html?way=textSlc" TargetMode="External"/><Relationship Id="rId14" Type="http://schemas.openxmlformats.org/officeDocument/2006/relationships/hyperlink" Target="https://www.pkulaw.com/chl/68957aaf4c3a793dbdfb.html?way=textSlc"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2024-05-11T15:38:00Z</dcterms:created>
  <dcterms:modified xsi:type="dcterms:W3CDTF">2024-05-11T15:38:00Z</dcterms:modified>
</cp:coreProperties>
</file>