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7E9F" w14:textId="77777777" w:rsidR="00000000" w:rsidRDefault="00FD493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何竹妹诉周步清民间借贷纠纷案</w:t>
      </w:r>
    </w:p>
    <w:p w14:paraId="48C15807" w14:textId="77777777" w:rsidR="00000000" w:rsidRDefault="00FD493E">
      <w:pPr>
        <w:ind w:left="375" w:right="375"/>
        <w:rPr>
          <w:rFonts w:ascii="Arial" w:eastAsia="Arial" w:hAnsi="Arial" w:cs="Arial"/>
          <w:lang w:val="en-US" w:eastAsia="zh-CN" w:bidi="ar-SA"/>
        </w:rPr>
      </w:pPr>
      <w:r>
        <w:rPr>
          <w:rFonts w:ascii="Arial" w:eastAsia="Arial" w:hAnsi="Arial" w:cs="Arial"/>
          <w:lang w:val="en-US" w:eastAsia="zh-CN" w:bidi="ar-SA"/>
        </w:rPr>
        <w:br/>
      </w:r>
    </w:p>
    <w:p w14:paraId="3C5ADC36" w14:textId="77777777" w:rsidR="00000000" w:rsidRDefault="00FD493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何竹妹诉周步清民间借贷纠纷案</w:t>
      </w:r>
    </w:p>
    <w:p w14:paraId="04BECB07" w14:textId="77777777" w:rsidR="00000000" w:rsidRDefault="00FD493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267F82FE" w14:textId="77777777" w:rsidR="00000000" w:rsidRDefault="00FD493E">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4504</w:t>
      </w:r>
      <w:r>
        <w:rPr>
          <w:rStyle w:val="span"/>
          <w:rFonts w:ascii="宋体" w:eastAsia="宋体" w:hAnsi="宋体" w:cs="宋体"/>
          <w:color w:val="000000"/>
          <w:sz w:val="27"/>
          <w:szCs w:val="27"/>
          <w:lang w:val="en-US" w:eastAsia="zh-CN" w:bidi="ar-SA"/>
        </w:rPr>
        <w:t>号</w:t>
      </w:r>
    </w:p>
    <w:p w14:paraId="04D10DA3" w14:textId="77777777" w:rsidR="00000000" w:rsidRDefault="00FD493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原告：何竹妹。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委托诉讼代理人：王忠义。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被告：周步清。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原告何竹妹与被告周步清民间借贷纠纷一案，原告于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日向本院提起诉讼，请求判令被告周步清偿还原告借款</w:t>
      </w:r>
      <w:r>
        <w:rPr>
          <w:rFonts w:ascii="宋体" w:eastAsia="宋体" w:hAnsi="宋体" w:cs="宋体"/>
          <w:color w:val="000000"/>
          <w:sz w:val="27"/>
          <w:szCs w:val="27"/>
          <w:lang w:val="en-US" w:eastAsia="zh-CN" w:bidi="ar-SA"/>
        </w:rPr>
        <w:t>22000</w:t>
      </w:r>
      <w:r>
        <w:rPr>
          <w:rFonts w:ascii="宋体" w:eastAsia="宋体" w:hAnsi="宋体" w:cs="宋体"/>
          <w:color w:val="000000"/>
          <w:sz w:val="27"/>
          <w:szCs w:val="27"/>
          <w:lang w:val="en-US" w:eastAsia="zh-CN" w:bidi="ar-SA"/>
        </w:rPr>
        <w:t>元并赔偿利息损失（按中国人民银行同期贷款基准利率，从起诉之日起计算至实际履行之日止）。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本院受理后，依法适用普通程序，于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日公开开庭进行了审理并当庭</w:t>
      </w:r>
      <w:r>
        <w:rPr>
          <w:rFonts w:ascii="宋体" w:eastAsia="宋体" w:hAnsi="宋体" w:cs="宋体"/>
          <w:color w:val="000000"/>
          <w:sz w:val="27"/>
          <w:szCs w:val="27"/>
          <w:lang w:val="en-US" w:eastAsia="zh-CN" w:bidi="ar-SA"/>
        </w:rPr>
        <w:t>宣告判决。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日，被告周步清向原告出具借条一份，确认尚欠借款</w:t>
      </w:r>
      <w:r>
        <w:rPr>
          <w:rFonts w:ascii="宋体" w:eastAsia="宋体" w:hAnsi="宋体" w:cs="宋体"/>
          <w:color w:val="000000"/>
          <w:sz w:val="27"/>
          <w:szCs w:val="27"/>
          <w:lang w:val="en-US" w:eastAsia="zh-CN" w:bidi="ar-SA"/>
        </w:rPr>
        <w:t>22000</w:t>
      </w:r>
      <w:r>
        <w:rPr>
          <w:rFonts w:ascii="宋体" w:eastAsia="宋体" w:hAnsi="宋体" w:cs="宋体"/>
          <w:color w:val="000000"/>
          <w:sz w:val="27"/>
          <w:szCs w:val="27"/>
          <w:lang w:val="en-US" w:eastAsia="zh-CN" w:bidi="ar-SA"/>
        </w:rPr>
        <w:t>元。之后被告周步清未偿还上述款项。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被告周步清应于本判决生效之日起十日内偿还原告何竹妹借款</w:t>
      </w:r>
      <w:r>
        <w:rPr>
          <w:rFonts w:ascii="宋体" w:eastAsia="宋体" w:hAnsi="宋体" w:cs="宋体"/>
          <w:color w:val="000000"/>
          <w:sz w:val="27"/>
          <w:szCs w:val="27"/>
          <w:lang w:val="en-US" w:eastAsia="zh-CN" w:bidi="ar-SA"/>
        </w:rPr>
        <w:t>22000</w:t>
      </w:r>
      <w:r>
        <w:rPr>
          <w:rFonts w:ascii="宋体" w:eastAsia="宋体" w:hAnsi="宋体" w:cs="宋体"/>
          <w:color w:val="000000"/>
          <w:sz w:val="27"/>
          <w:szCs w:val="27"/>
          <w:lang w:val="en-US" w:eastAsia="zh-CN" w:bidi="ar-SA"/>
        </w:rPr>
        <w:t>元并赔偿利息损失（按年利率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日起计算至本判决确定的履行之日止）。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如果未按本判决指定的期间履行给付金钱义务，应当依照《</w:t>
      </w:r>
      <w:hyperlink r:id="rId12" w:history="1">
        <w:r>
          <w:rPr>
            <w:rStyle w:val="fulltext-wrapfulltexta"/>
            <w:rFonts w:ascii="宋体" w:eastAsia="宋体" w:hAnsi="宋体" w:cs="宋体"/>
            <w:sz w:val="27"/>
            <w:szCs w:val="27"/>
            <w:lang w:val="en-US" w:eastAsia="zh-CN" w:bidi="ar-SA"/>
          </w:rPr>
          <w:t>中华人</w:t>
        </w:r>
        <w:r>
          <w:rPr>
            <w:rStyle w:val="fulltext-wrapfulltexta"/>
            <w:rFonts w:ascii="宋体" w:eastAsia="宋体" w:hAnsi="宋体" w:cs="宋体"/>
            <w:sz w:val="27"/>
            <w:szCs w:val="27"/>
            <w:lang w:val="en-US" w:eastAsia="zh-CN" w:bidi="ar-SA"/>
          </w:rPr>
          <w:lastRenderedPageBreak/>
          <w:t>民共和国民事诉讼法</w:t>
        </w:r>
      </w:hyperlink>
      <w:r>
        <w:rPr>
          <w:rFonts w:ascii="宋体" w:eastAsia="宋体" w:hAnsi="宋体" w:cs="宋体"/>
          <w:color w:val="000000"/>
          <w:sz w:val="27"/>
          <w:szCs w:val="27"/>
          <w:lang w:val="en-US" w:eastAsia="zh-CN" w:bidi="ar-SA"/>
        </w:rPr>
        <w:t>》第</w:t>
      </w:r>
      <w:hyperlink r:id="rId13"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350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320</w:t>
      </w:r>
      <w:r>
        <w:rPr>
          <w:rFonts w:ascii="宋体" w:eastAsia="宋体" w:hAnsi="宋体" w:cs="宋体"/>
          <w:color w:val="000000"/>
          <w:sz w:val="27"/>
          <w:szCs w:val="27"/>
          <w:lang w:val="en-US" w:eastAsia="zh-CN" w:bidi="ar-SA"/>
        </w:rPr>
        <w:t>元（由原告预缴），合计</w:t>
      </w:r>
      <w:r>
        <w:rPr>
          <w:rFonts w:ascii="宋体" w:eastAsia="宋体" w:hAnsi="宋体" w:cs="宋体"/>
          <w:color w:val="000000"/>
          <w:sz w:val="27"/>
          <w:szCs w:val="27"/>
          <w:lang w:val="en-US" w:eastAsia="zh-CN" w:bidi="ar-SA"/>
        </w:rPr>
        <w:t>670</w:t>
      </w:r>
      <w:r>
        <w:rPr>
          <w:rFonts w:ascii="宋体" w:eastAsia="宋体" w:hAnsi="宋体" w:cs="宋体"/>
          <w:color w:val="000000"/>
          <w:sz w:val="27"/>
          <w:szCs w:val="27"/>
          <w:lang w:val="en-US" w:eastAsia="zh-CN" w:bidi="ar-SA"/>
        </w:rPr>
        <w:t>元，由被告周步清负担。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w:t>
      </w:r>
      <w:r>
        <w:rPr>
          <w:rFonts w:ascii="宋体" w:eastAsia="宋体" w:hAnsi="宋体" w:cs="宋体"/>
          <w:color w:val="000000"/>
          <w:sz w:val="27"/>
          <w:szCs w:val="27"/>
          <w:lang w:val="en-US" w:eastAsia="zh-CN" w:bidi="ar-SA"/>
        </w:rPr>
        <w:t>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6304E501" w14:textId="77777777" w:rsidR="00000000" w:rsidRDefault="00FD493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蒋玲玉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翁瑞育</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王崇林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二〇一七年一月五日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项高阳</w:t>
      </w:r>
    </w:p>
    <w:p w14:paraId="4DD23972" w14:textId="77777777" w:rsidR="00000000" w:rsidRDefault="00FD493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w:t>
      </w:r>
      <w:r>
        <w:rPr>
          <w:rFonts w:ascii="宋体" w:eastAsia="宋体" w:hAnsi="宋体" w:cs="宋体"/>
          <w:color w:val="000000"/>
          <w:sz w:val="27"/>
          <w:szCs w:val="27"/>
          <w:lang w:val="en-US" w:eastAsia="zh-CN" w:bidi="ar-SA"/>
        </w:rPr>
        <w:t>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w:t>
      </w:r>
      <w:r>
        <w:rPr>
          <w:rFonts w:ascii="宋体" w:eastAsia="宋体" w:hAnsi="宋体" w:cs="宋体"/>
          <w:color w:val="000000"/>
          <w:sz w:val="27"/>
          <w:szCs w:val="27"/>
          <w:lang w:val="en-US" w:eastAsia="zh-CN" w:bidi="ar-SA"/>
        </w:rPr>
        <w:t>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当事人一方拒绝履行的，对方当事人可以在履行期限届满后的二年内向第一审人民法院申请执行。逾期申请的，人民法院不予受理执行。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拒不履行人民法院已经发生法律效力的判决、裁定的</w:t>
      </w:r>
      <w:r>
        <w:rPr>
          <w:rFonts w:ascii="宋体" w:eastAsia="宋体" w:hAnsi="宋体" w:cs="宋体"/>
          <w:color w:val="000000"/>
          <w:sz w:val="27"/>
          <w:szCs w:val="27"/>
          <w:lang w:val="en-US" w:eastAsia="zh-CN" w:bidi="ar-SA"/>
        </w:rPr>
        <w:t>；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14F29B57" w14:textId="77777777" w:rsidR="00000000" w:rsidRDefault="00FD493E">
      <w:pPr>
        <w:ind w:left="375" w:right="375"/>
        <w:rPr>
          <w:rFonts w:ascii="Arial" w:eastAsia="Arial" w:hAnsi="Arial" w:cs="Arial"/>
          <w:lang w:val="en-US" w:eastAsia="zh-CN" w:bidi="ar-SA"/>
        </w:rPr>
      </w:pPr>
      <w:r>
        <w:rPr>
          <w:rFonts w:ascii="Arial" w:eastAsia="Arial" w:hAnsi="Arial" w:cs="Arial"/>
          <w:lang w:val="en-US" w:eastAsia="zh-CN" w:bidi="ar-SA"/>
        </w:rPr>
        <w:br/>
      </w:r>
    </w:p>
    <w:p w14:paraId="3A3E12AD" w14:textId="77777777" w:rsidR="00000000" w:rsidRDefault="00A77B3E">
      <w:pPr>
        <w:spacing w:line="630" w:lineRule="atLeast"/>
        <w:rPr>
          <w:rFonts w:eastAsia="Times New Roman"/>
          <w:sz w:val="26"/>
          <w:szCs w:val="26"/>
          <w:lang w:val="en-US" w:eastAsia="zh-CN" w:bidi="ar-SA"/>
        </w:rPr>
      </w:pPr>
      <w:r>
        <w:br w:type="page"/>
      </w:r>
      <w:r w:rsidR="00FD493E">
        <w:rPr>
          <w:rFonts w:eastAsia="Times New Roman"/>
          <w:sz w:val="26"/>
          <w:szCs w:val="26"/>
          <w:lang w:val="en-US" w:eastAsia="zh-CN" w:bidi="ar-SA"/>
        </w:rPr>
        <w:t>©北大法宝：（</w:t>
      </w:r>
      <w:hyperlink r:id="rId16" w:history="1">
        <w:r w:rsidR="00FD493E">
          <w:rPr>
            <w:rFonts w:eastAsia="Times New Roman"/>
            <w:color w:val="218FC4"/>
            <w:sz w:val="26"/>
            <w:szCs w:val="26"/>
            <w:u w:val="single" w:color="218FC4"/>
            <w:lang w:val="en-US" w:eastAsia="zh-CN" w:bidi="ar-SA"/>
          </w:rPr>
          <w:t>www.pkulaw.com</w:t>
        </w:r>
      </w:hyperlink>
      <w:r w:rsidR="00FD493E">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7" w:tgtFrame="_blank" w:history="1">
        <w:r w:rsidR="00FD493E">
          <w:rPr>
            <w:rFonts w:eastAsia="Times New Roman"/>
            <w:color w:val="218FC4"/>
            <w:sz w:val="26"/>
            <w:szCs w:val="26"/>
            <w:u w:val="single" w:color="218FC4"/>
            <w:lang w:val="en-US" w:eastAsia="zh-CN" w:bidi="ar-SA"/>
          </w:rPr>
          <w:t>产品和服务</w:t>
        </w:r>
      </w:hyperlink>
      <w:r w:rsidR="00FD493E">
        <w:rPr>
          <w:rFonts w:eastAsia="Times New Roman"/>
          <w:sz w:val="26"/>
          <w:szCs w:val="26"/>
          <w:lang w:val="en-US" w:eastAsia="zh-CN" w:bidi="ar-SA"/>
        </w:rPr>
        <w:t>。</w:t>
      </w:r>
      <w:r w:rsidR="00FD493E">
        <w:rPr>
          <w:rFonts w:eastAsia="Times New Roman"/>
          <w:sz w:val="26"/>
          <w:szCs w:val="26"/>
          <w:lang w:val="en-US" w:eastAsia="zh-CN" w:bidi="ar-SA"/>
        </w:rPr>
        <w:br/>
      </w:r>
      <w:hyperlink r:id="rId18" w:tgtFrame="_blank" w:history="1">
        <w:r w:rsidR="00FD493E">
          <w:rPr>
            <w:rFonts w:eastAsia="Times New Roman"/>
            <w:color w:val="218FC4"/>
            <w:sz w:val="26"/>
            <w:szCs w:val="26"/>
            <w:u w:val="single" w:color="218FC4"/>
            <w:lang w:val="en-US" w:eastAsia="zh-CN" w:bidi="ar-SA"/>
          </w:rPr>
          <w:t>法宝快讯： 如何快速找到您需要的检索结果？ 法宝 V6 有何新特色？</w:t>
        </w:r>
      </w:hyperlink>
    </w:p>
    <w:p w14:paraId="7A5F47EB" w14:textId="77777777" w:rsidR="00000000" w:rsidRDefault="00FD493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9" o:title=""/>
          </v:shape>
        </w:pict>
      </w:r>
    </w:p>
    <w:p w14:paraId="3456F0BE" w14:textId="77777777" w:rsidR="00000000" w:rsidRDefault="00FD493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65E71EF" w14:textId="77777777" w:rsidR="00000000" w:rsidRDefault="00FD493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0" w:tgtFrame="_blank" w:history="1">
        <w:r>
          <w:rPr>
            <w:rFonts w:eastAsia="Times New Roman"/>
            <w:color w:val="000000"/>
            <w:sz w:val="26"/>
            <w:szCs w:val="26"/>
            <w:u w:val="single" w:color="000000"/>
            <w:lang w:val="en-US" w:eastAsia="zh-CN" w:bidi="ar-SA"/>
          </w:rPr>
          <w:t xml:space="preserve">https://www.pkulaw.com/pfnl/a25051f3312b07f3c1dc155da3d86282c51cd61b15e8ba45bdfb.html </w:t>
        </w:r>
      </w:hyperlink>
    </w:p>
    <w:p w14:paraId="7045872F" w14:textId="77777777" w:rsidR="00A77B3E" w:rsidRDefault="00A77B3E"/>
    <w:sectPr w:rsidR="00A77B3E">
      <w:headerReference w:type="default" r:id="rId21"/>
      <w:footerReference w:type="default" r:id="rId2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0D21" w14:textId="77777777" w:rsidR="00000000" w:rsidRDefault="00FD493E">
      <w:r>
        <w:separator/>
      </w:r>
    </w:p>
  </w:endnote>
  <w:endnote w:type="continuationSeparator" w:id="0">
    <w:p w14:paraId="3990664F" w14:textId="77777777" w:rsidR="00000000" w:rsidRDefault="00FD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873C079" w14:textId="77777777">
      <w:trPr>
        <w:tblCellSpacing w:w="15" w:type="dxa"/>
      </w:trPr>
      <w:tc>
        <w:tcPr>
          <w:tcW w:w="1530" w:type="dxa"/>
          <w:tcMar>
            <w:top w:w="15" w:type="dxa"/>
            <w:left w:w="15" w:type="dxa"/>
            <w:bottom w:w="15" w:type="dxa"/>
            <w:right w:w="15" w:type="dxa"/>
          </w:tcMar>
          <w:vAlign w:val="center"/>
          <w:hideMark/>
        </w:tcPr>
        <w:p w14:paraId="706A30C1" w14:textId="77777777" w:rsidR="00000000" w:rsidRDefault="00FD493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4DD4A2F" w14:textId="77777777" w:rsidR="00000000" w:rsidRDefault="00FD493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7BAB9BCC" w14:textId="77777777" w:rsidR="00000000" w:rsidRDefault="00FD49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FA1B" w14:textId="77777777" w:rsidR="00000000" w:rsidRDefault="00FD493E">
      <w:r>
        <w:separator/>
      </w:r>
    </w:p>
  </w:footnote>
  <w:footnote w:type="continuationSeparator" w:id="0">
    <w:p w14:paraId="0248CE9B" w14:textId="77777777" w:rsidR="00000000" w:rsidRDefault="00FD4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D700146" w14:textId="77777777">
      <w:trPr>
        <w:tblCellSpacing w:w="15" w:type="dxa"/>
      </w:trPr>
      <w:tc>
        <w:tcPr>
          <w:tcW w:w="0" w:type="auto"/>
          <w:tcMar>
            <w:top w:w="15" w:type="dxa"/>
            <w:left w:w="15" w:type="dxa"/>
            <w:bottom w:w="15" w:type="dxa"/>
            <w:right w:w="15" w:type="dxa"/>
          </w:tcMar>
          <w:vAlign w:val="center"/>
          <w:hideMark/>
        </w:tcPr>
        <w:p w14:paraId="02160645" w14:textId="77777777" w:rsidR="00000000" w:rsidRDefault="00FD493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1FB36BF" w14:textId="77777777" w:rsidR="00000000" w:rsidRDefault="00FD493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CLI.C.37517373</w:t>
          </w:r>
        </w:p>
      </w:tc>
    </w:tr>
  </w:tbl>
  <w:p w14:paraId="0CEDBAA4" w14:textId="77777777" w:rsidR="00000000" w:rsidRDefault="00FD49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D493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96EF0B"/>
  <w15:chartTrackingRefBased/>
  <w15:docId w15:val="{27CC2E18-9010-4C4E-A38D-652DB7F1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FD49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D493E"/>
    <w:rPr>
      <w:sz w:val="18"/>
      <w:szCs w:val="18"/>
    </w:rPr>
  </w:style>
  <w:style w:type="paragraph" w:styleId="a5">
    <w:name w:val="footer"/>
    <w:basedOn w:val="a"/>
    <w:link w:val="a6"/>
    <w:rsid w:val="00FD493E"/>
    <w:pPr>
      <w:tabs>
        <w:tab w:val="center" w:pos="4153"/>
        <w:tab w:val="right" w:pos="8306"/>
      </w:tabs>
      <w:snapToGrid w:val="0"/>
    </w:pPr>
    <w:rPr>
      <w:sz w:val="18"/>
      <w:szCs w:val="18"/>
    </w:rPr>
  </w:style>
  <w:style w:type="character" w:customStyle="1" w:styleId="a6">
    <w:name w:val="页脚 字符"/>
    <w:basedOn w:val="a0"/>
    <w:link w:val="a5"/>
    <w:rsid w:val="00FD49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 TargetMode="External"/><Relationship Id="rId20" Type="http://schemas.openxmlformats.org/officeDocument/2006/relationships/hyperlink" Target="https://www.pkulaw.com/pfnl/a25051f3312b07f3c1dc155da3d86282c51cd61b15e8ba45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fontTable" Target="fontTable.xml"/><Relationship Id="rId10" Type="http://schemas.openxmlformats.org/officeDocument/2006/relationships/hyperlink" Target="https://www.pkulaw.com/chl/68957aaf4c3a793dbdfb.html?way=textSl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