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E81D" w14:textId="77777777" w:rsidR="00000000" w:rsidRDefault="00C713F4">
      <w:pPr>
        <w:spacing w:line="500" w:lineRule="atLeast"/>
        <w:jc w:val="center"/>
        <w:divId w:val="745228158"/>
        <w:rPr>
          <w:rFonts w:ascii="黑体" w:eastAsia="黑体" w:hAnsi="黑体"/>
          <w:sz w:val="36"/>
          <w:szCs w:val="36"/>
        </w:rPr>
      </w:pPr>
      <w:r>
        <w:rPr>
          <w:rFonts w:ascii="黑体" w:eastAsia="黑体" w:hAnsi="黑体" w:hint="eastAsia"/>
          <w:sz w:val="36"/>
          <w:szCs w:val="36"/>
        </w:rPr>
        <w:t>浙江省平阳县人民法院</w:t>
      </w:r>
    </w:p>
    <w:p w14:paraId="0D1462A1" w14:textId="77777777" w:rsidR="00000000" w:rsidRDefault="00C713F4">
      <w:pPr>
        <w:spacing w:line="500" w:lineRule="atLeast"/>
        <w:jc w:val="center"/>
        <w:divId w:val="15412421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218668B" w14:textId="77777777" w:rsidR="00000000" w:rsidRDefault="00C713F4">
      <w:pPr>
        <w:spacing w:line="500" w:lineRule="atLeast"/>
        <w:jc w:val="right"/>
        <w:divId w:val="2074883528"/>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3668</w:t>
      </w:r>
      <w:r>
        <w:rPr>
          <w:rFonts w:hint="eastAsia"/>
          <w:sz w:val="30"/>
          <w:szCs w:val="30"/>
        </w:rPr>
        <w:t>号</w:t>
      </w:r>
    </w:p>
    <w:p w14:paraId="5D22DB34" w14:textId="77777777" w:rsidR="00000000" w:rsidRDefault="00C713F4">
      <w:pPr>
        <w:spacing w:line="500" w:lineRule="atLeast"/>
        <w:ind w:firstLine="600"/>
        <w:divId w:val="1115632369"/>
        <w:rPr>
          <w:rFonts w:hint="eastAsia"/>
          <w:sz w:val="30"/>
          <w:szCs w:val="30"/>
        </w:rPr>
      </w:pPr>
      <w:r>
        <w:rPr>
          <w:rFonts w:hint="eastAsia"/>
          <w:sz w:val="30"/>
          <w:szCs w:val="30"/>
        </w:rPr>
        <w:t>原告：周兆露。</w:t>
      </w:r>
    </w:p>
    <w:p w14:paraId="1D404BA2" w14:textId="77777777" w:rsidR="00000000" w:rsidRDefault="00C713F4">
      <w:pPr>
        <w:spacing w:line="500" w:lineRule="atLeast"/>
        <w:ind w:firstLine="600"/>
        <w:divId w:val="1798529785"/>
        <w:rPr>
          <w:rFonts w:hint="eastAsia"/>
          <w:sz w:val="30"/>
          <w:szCs w:val="30"/>
        </w:rPr>
      </w:pPr>
      <w:r>
        <w:rPr>
          <w:rFonts w:hint="eastAsia"/>
          <w:sz w:val="30"/>
          <w:szCs w:val="30"/>
          <w:highlight w:val="yellow"/>
        </w:rPr>
        <w:t>委托代理人：罗义、支绍安，浙江越人（平阳）律师事务所律师。</w:t>
      </w:r>
    </w:p>
    <w:p w14:paraId="46A2555A" w14:textId="77777777" w:rsidR="00000000" w:rsidRDefault="00C713F4">
      <w:pPr>
        <w:spacing w:line="500" w:lineRule="atLeast"/>
        <w:ind w:firstLine="600"/>
        <w:divId w:val="330528640"/>
        <w:rPr>
          <w:rFonts w:hint="eastAsia"/>
          <w:sz w:val="30"/>
          <w:szCs w:val="30"/>
        </w:rPr>
      </w:pPr>
      <w:r>
        <w:rPr>
          <w:rFonts w:hint="eastAsia"/>
          <w:sz w:val="30"/>
          <w:szCs w:val="30"/>
        </w:rPr>
        <w:t>被告：叶昌雷。</w:t>
      </w:r>
    </w:p>
    <w:p w14:paraId="5CB12CD1" w14:textId="77777777" w:rsidR="00000000" w:rsidRDefault="00C713F4">
      <w:pPr>
        <w:spacing w:line="500" w:lineRule="atLeast"/>
        <w:ind w:firstLine="600"/>
        <w:divId w:val="91317200"/>
        <w:rPr>
          <w:rFonts w:hint="eastAsia"/>
          <w:sz w:val="30"/>
          <w:szCs w:val="30"/>
        </w:rPr>
      </w:pPr>
      <w:r>
        <w:rPr>
          <w:rFonts w:hint="eastAsia"/>
          <w:sz w:val="30"/>
          <w:szCs w:val="30"/>
        </w:rPr>
        <w:t>被告：叶其豹。</w:t>
      </w:r>
    </w:p>
    <w:p w14:paraId="141146F0" w14:textId="77777777" w:rsidR="00000000" w:rsidRDefault="00C713F4">
      <w:pPr>
        <w:spacing w:line="500" w:lineRule="atLeast"/>
        <w:ind w:firstLine="600"/>
        <w:divId w:val="997877029"/>
        <w:rPr>
          <w:rFonts w:hint="eastAsia"/>
          <w:sz w:val="30"/>
          <w:szCs w:val="30"/>
        </w:rPr>
      </w:pPr>
      <w:r>
        <w:rPr>
          <w:rFonts w:hint="eastAsia"/>
          <w:sz w:val="30"/>
          <w:szCs w:val="30"/>
          <w:highlight w:val="yellow"/>
        </w:rPr>
        <w:t>原告周兆露诉被告叶昌雷、叶其豹民间借贷纠纷一案，原告于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6</w:t>
      </w:r>
      <w:r>
        <w:rPr>
          <w:rFonts w:hint="eastAsia"/>
          <w:sz w:val="30"/>
          <w:szCs w:val="30"/>
          <w:highlight w:val="yellow"/>
        </w:rPr>
        <w:t>日向本院起诉，诉讼请求：</w:t>
      </w:r>
      <w:r>
        <w:rPr>
          <w:rFonts w:hint="eastAsia"/>
          <w:sz w:val="30"/>
          <w:szCs w:val="30"/>
          <w:highlight w:val="yellow"/>
        </w:rPr>
        <w:t>1.</w:t>
      </w:r>
      <w:r>
        <w:rPr>
          <w:rFonts w:hint="eastAsia"/>
          <w:sz w:val="30"/>
          <w:szCs w:val="30"/>
          <w:highlight w:val="yellow"/>
        </w:rPr>
        <w:t>被告叶昌雷偿还借款本金</w:t>
      </w:r>
      <w:r>
        <w:rPr>
          <w:rFonts w:hint="eastAsia"/>
          <w:sz w:val="30"/>
          <w:szCs w:val="30"/>
          <w:highlight w:val="yellow"/>
        </w:rPr>
        <w:t>14164</w:t>
      </w:r>
      <w:r>
        <w:rPr>
          <w:rFonts w:hint="eastAsia"/>
          <w:sz w:val="30"/>
          <w:szCs w:val="30"/>
          <w:highlight w:val="yellow"/>
        </w:rPr>
        <w:t>元及利息（从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29</w:t>
      </w:r>
      <w:r>
        <w:rPr>
          <w:rFonts w:hint="eastAsia"/>
          <w:sz w:val="30"/>
          <w:szCs w:val="30"/>
          <w:highlight w:val="yellow"/>
        </w:rPr>
        <w:t>日起按月利率</w:t>
      </w:r>
      <w:r>
        <w:rPr>
          <w:rFonts w:hint="eastAsia"/>
          <w:sz w:val="30"/>
          <w:szCs w:val="30"/>
          <w:highlight w:val="yellow"/>
        </w:rPr>
        <w:t>1.5%</w:t>
      </w:r>
      <w:r>
        <w:rPr>
          <w:rFonts w:hint="eastAsia"/>
          <w:sz w:val="30"/>
          <w:szCs w:val="30"/>
          <w:highlight w:val="yellow"/>
        </w:rPr>
        <w:t>计算至实际偿还之日止）；</w:t>
      </w:r>
      <w:r>
        <w:rPr>
          <w:rFonts w:hint="eastAsia"/>
          <w:sz w:val="30"/>
          <w:szCs w:val="30"/>
          <w:highlight w:val="yellow"/>
        </w:rPr>
        <w:t>2.</w:t>
      </w:r>
      <w:r>
        <w:rPr>
          <w:rFonts w:hint="eastAsia"/>
          <w:sz w:val="30"/>
          <w:szCs w:val="30"/>
          <w:highlight w:val="yellow"/>
        </w:rPr>
        <w:t>被告叶其豹对上述债务承担连带偿还责任；</w:t>
      </w:r>
      <w:r>
        <w:rPr>
          <w:rFonts w:hint="eastAsia"/>
          <w:sz w:val="30"/>
          <w:szCs w:val="30"/>
          <w:highlight w:val="yellow"/>
        </w:rPr>
        <w:t>3.</w:t>
      </w:r>
      <w:r>
        <w:rPr>
          <w:rFonts w:hint="eastAsia"/>
          <w:sz w:val="30"/>
          <w:szCs w:val="30"/>
          <w:highlight w:val="yellow"/>
        </w:rPr>
        <w:t>本案受理费、律师费由被告承担。</w:t>
      </w:r>
      <w:r>
        <w:rPr>
          <w:rFonts w:hint="eastAsia"/>
          <w:sz w:val="30"/>
          <w:szCs w:val="30"/>
        </w:rPr>
        <w:t>本院受理后，依法由审判员包崇鸽适用小额诉讼程序于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日公开开庭进行了审理。</w:t>
      </w:r>
      <w:r>
        <w:rPr>
          <w:rFonts w:hint="eastAsia"/>
          <w:sz w:val="30"/>
          <w:szCs w:val="30"/>
          <w:highlight w:val="yellow"/>
        </w:rPr>
        <w:t>原告周兆露委托代理人支绍安到庭参加诉讼，被告叶昌雷、叶其豹经本院传票传唤无正当理由拒不到庭参加诉讼。</w:t>
      </w:r>
      <w:r>
        <w:rPr>
          <w:rFonts w:hint="eastAsia"/>
          <w:sz w:val="30"/>
          <w:szCs w:val="30"/>
        </w:rPr>
        <w:t>现已审理终结。</w:t>
      </w:r>
    </w:p>
    <w:p w14:paraId="75DB2613" w14:textId="77777777" w:rsidR="00000000" w:rsidRDefault="00C713F4">
      <w:pPr>
        <w:spacing w:line="500" w:lineRule="atLeast"/>
        <w:ind w:firstLine="600"/>
        <w:divId w:val="1636837097"/>
        <w:rPr>
          <w:rFonts w:hint="eastAsia"/>
          <w:sz w:val="30"/>
          <w:szCs w:val="30"/>
        </w:rPr>
      </w:pPr>
      <w:r>
        <w:rPr>
          <w:rFonts w:hint="eastAsia"/>
          <w:sz w:val="30"/>
          <w:szCs w:val="30"/>
        </w:rPr>
        <w:t>本院经审理，认定本案事实如下：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日，原告周兆露（甲方，出借人）与被告叶昌雷（乙方，借款人）及被告叶其豹（丁方，保证人）在人人投融资签订一份《个人保证借款合同》，约定乙方向甲方借款</w:t>
      </w:r>
      <w:r>
        <w:rPr>
          <w:rFonts w:hint="eastAsia"/>
          <w:sz w:val="30"/>
          <w:szCs w:val="30"/>
          <w:highlight w:val="yellow"/>
        </w:rPr>
        <w:t>50000</w:t>
      </w:r>
      <w:r>
        <w:rPr>
          <w:rFonts w:hint="eastAsia"/>
          <w:sz w:val="30"/>
          <w:szCs w:val="30"/>
          <w:highlight w:val="yellow"/>
        </w:rPr>
        <w:t>元，借款用途为购货款，借款期限</w:t>
      </w:r>
      <w:r>
        <w:rPr>
          <w:rFonts w:hint="eastAsia"/>
          <w:sz w:val="30"/>
          <w:szCs w:val="30"/>
          <w:highlight w:val="yellow"/>
        </w:rPr>
        <w:t>12</w:t>
      </w:r>
      <w:r>
        <w:rPr>
          <w:rFonts w:hint="eastAsia"/>
          <w:sz w:val="30"/>
          <w:szCs w:val="30"/>
          <w:highlight w:val="yellow"/>
        </w:rPr>
        <w:t>个月，还款方式为等额本息还款，月还款本息</w:t>
      </w:r>
      <w:r>
        <w:rPr>
          <w:rFonts w:hint="eastAsia"/>
          <w:sz w:val="30"/>
          <w:szCs w:val="30"/>
          <w:highlight w:val="yellow"/>
        </w:rPr>
        <w:t>4917</w:t>
      </w:r>
      <w:r>
        <w:rPr>
          <w:rFonts w:hint="eastAsia"/>
          <w:sz w:val="30"/>
          <w:szCs w:val="30"/>
          <w:highlight w:val="yellow"/>
        </w:rPr>
        <w:t>元，保证人对借款人的</w:t>
      </w:r>
      <w:r>
        <w:rPr>
          <w:rFonts w:hint="eastAsia"/>
          <w:sz w:val="30"/>
          <w:szCs w:val="30"/>
          <w:highlight w:val="yellow"/>
        </w:rPr>
        <w:t>借款承担连带保证责任，保证范围包括但不限于本金、利息、服务费、风险保证金、逾期罚息和实现债权的费用。实现债权的费用包括诉讼费、律师代理费等。合同第九条约定，违约方还应承担另一方产生费用及损失，包括但不限于调查、诉讼费、律师费等。借款合同未约定</w:t>
      </w:r>
      <w:r>
        <w:rPr>
          <w:rFonts w:hint="eastAsia"/>
          <w:sz w:val="30"/>
          <w:szCs w:val="30"/>
          <w:highlight w:val="yellow"/>
        </w:rPr>
        <w:lastRenderedPageBreak/>
        <w:t>担保期限。同日，原告分别向被告叶昌雷银行账户转账</w:t>
      </w:r>
      <w:r>
        <w:rPr>
          <w:rFonts w:hint="eastAsia"/>
          <w:sz w:val="30"/>
          <w:szCs w:val="30"/>
          <w:highlight w:val="yellow"/>
        </w:rPr>
        <w:t>47500</w:t>
      </w:r>
      <w:r>
        <w:rPr>
          <w:rFonts w:hint="eastAsia"/>
          <w:sz w:val="30"/>
          <w:szCs w:val="30"/>
          <w:highlight w:val="yellow"/>
        </w:rPr>
        <w:t>元。借款后，被告偿还了</w:t>
      </w:r>
      <w:r>
        <w:rPr>
          <w:rFonts w:hint="eastAsia"/>
          <w:sz w:val="30"/>
          <w:szCs w:val="30"/>
          <w:highlight w:val="yellow"/>
        </w:rPr>
        <w:t>8</w:t>
      </w:r>
      <w:r>
        <w:rPr>
          <w:rFonts w:hint="eastAsia"/>
          <w:sz w:val="30"/>
          <w:szCs w:val="30"/>
          <w:highlight w:val="yellow"/>
        </w:rPr>
        <w:t>期借款本息</w:t>
      </w:r>
      <w:r>
        <w:rPr>
          <w:rFonts w:hint="eastAsia"/>
          <w:sz w:val="30"/>
          <w:szCs w:val="30"/>
          <w:highlight w:val="yellow"/>
        </w:rPr>
        <w:t>39336</w:t>
      </w:r>
      <w:r>
        <w:rPr>
          <w:rFonts w:hint="eastAsia"/>
          <w:sz w:val="30"/>
          <w:szCs w:val="30"/>
          <w:highlight w:val="yellow"/>
        </w:rPr>
        <w:t>元（其中借款本金</w:t>
      </w:r>
      <w:r>
        <w:rPr>
          <w:rFonts w:hint="eastAsia"/>
          <w:sz w:val="30"/>
          <w:szCs w:val="30"/>
          <w:highlight w:val="yellow"/>
        </w:rPr>
        <w:t>33333.33</w:t>
      </w:r>
      <w:r>
        <w:rPr>
          <w:rFonts w:hint="eastAsia"/>
          <w:sz w:val="30"/>
          <w:szCs w:val="30"/>
          <w:highlight w:val="yellow"/>
        </w:rPr>
        <w:t>元，利息</w:t>
      </w:r>
      <w:r>
        <w:rPr>
          <w:rFonts w:hint="eastAsia"/>
          <w:sz w:val="30"/>
          <w:szCs w:val="30"/>
          <w:highlight w:val="yellow"/>
        </w:rPr>
        <w:t>6002.67</w:t>
      </w:r>
      <w:r>
        <w:rPr>
          <w:rFonts w:hint="eastAsia"/>
          <w:sz w:val="30"/>
          <w:szCs w:val="30"/>
          <w:highlight w:val="yellow"/>
        </w:rPr>
        <w:t>元），余款至今未还。经本院核算，以借款本金</w:t>
      </w:r>
      <w:r>
        <w:rPr>
          <w:rFonts w:hint="eastAsia"/>
          <w:sz w:val="30"/>
          <w:szCs w:val="30"/>
          <w:highlight w:val="yellow"/>
        </w:rPr>
        <w:t>50000</w:t>
      </w:r>
      <w:r>
        <w:rPr>
          <w:rFonts w:hint="eastAsia"/>
          <w:sz w:val="30"/>
          <w:szCs w:val="30"/>
          <w:highlight w:val="yellow"/>
        </w:rPr>
        <w:t>元为基准，每月还款本息</w:t>
      </w:r>
      <w:r>
        <w:rPr>
          <w:rFonts w:hint="eastAsia"/>
          <w:sz w:val="30"/>
          <w:szCs w:val="30"/>
          <w:highlight w:val="yellow"/>
        </w:rPr>
        <w:t>4917</w:t>
      </w:r>
      <w:r>
        <w:rPr>
          <w:rFonts w:hint="eastAsia"/>
          <w:sz w:val="30"/>
          <w:szCs w:val="30"/>
          <w:highlight w:val="yellow"/>
        </w:rPr>
        <w:t>元，偿还</w:t>
      </w:r>
      <w:r>
        <w:rPr>
          <w:rFonts w:hint="eastAsia"/>
          <w:sz w:val="30"/>
          <w:szCs w:val="30"/>
          <w:highlight w:val="yellow"/>
        </w:rPr>
        <w:t>12</w:t>
      </w:r>
      <w:r>
        <w:rPr>
          <w:rFonts w:hint="eastAsia"/>
          <w:sz w:val="30"/>
          <w:szCs w:val="30"/>
          <w:highlight w:val="yellow"/>
        </w:rPr>
        <w:t>个月，折算后的利率标</w:t>
      </w:r>
      <w:r>
        <w:rPr>
          <w:rFonts w:hint="eastAsia"/>
          <w:sz w:val="30"/>
          <w:szCs w:val="30"/>
          <w:highlight w:val="yellow"/>
        </w:rPr>
        <w:t>准为月利率</w:t>
      </w:r>
      <w:r>
        <w:rPr>
          <w:rFonts w:hint="eastAsia"/>
          <w:sz w:val="30"/>
          <w:szCs w:val="30"/>
          <w:highlight w:val="yellow"/>
        </w:rPr>
        <w:t>1.5%</w:t>
      </w:r>
      <w:r>
        <w:rPr>
          <w:rFonts w:hint="eastAsia"/>
          <w:sz w:val="30"/>
          <w:szCs w:val="30"/>
          <w:highlight w:val="yellow"/>
        </w:rPr>
        <w:t>。</w:t>
      </w:r>
      <w:r>
        <w:rPr>
          <w:rFonts w:hint="eastAsia"/>
          <w:sz w:val="30"/>
          <w:szCs w:val="30"/>
        </w:rPr>
        <w:t>原告为主张权利，其委托浙江越人（平阳）律师事务所律师代理本案，并支付律师代理费</w:t>
      </w:r>
      <w:r>
        <w:rPr>
          <w:rFonts w:hint="eastAsia"/>
          <w:sz w:val="30"/>
          <w:szCs w:val="30"/>
        </w:rPr>
        <w:t>3000</w:t>
      </w:r>
      <w:r>
        <w:rPr>
          <w:rFonts w:hint="eastAsia"/>
          <w:sz w:val="30"/>
          <w:szCs w:val="30"/>
        </w:rPr>
        <w:t>元，该代理费高于《浙江省物价局、浙江省司法厅关于制定律师服务收费标准的通知》确定的标准。</w:t>
      </w:r>
      <w:r>
        <w:rPr>
          <w:rFonts w:hint="eastAsia"/>
          <w:sz w:val="30"/>
          <w:szCs w:val="30"/>
          <w:highlight w:val="yellow"/>
        </w:rPr>
        <w:t>借款到期后，被告叶昌雷至今未还，原告也没有提供在法定保证期间届满前要求被告叶其豹承担保证责任的证据。</w:t>
      </w:r>
    </w:p>
    <w:p w14:paraId="73508C47" w14:textId="77777777" w:rsidR="00000000" w:rsidRDefault="00C713F4">
      <w:pPr>
        <w:spacing w:line="500" w:lineRule="atLeast"/>
        <w:ind w:firstLine="600"/>
        <w:divId w:val="1074618895"/>
        <w:rPr>
          <w:rFonts w:hint="eastAsia"/>
          <w:sz w:val="30"/>
          <w:szCs w:val="30"/>
        </w:rPr>
      </w:pPr>
      <w:r>
        <w:rPr>
          <w:rFonts w:hint="eastAsia"/>
          <w:sz w:val="30"/>
          <w:szCs w:val="30"/>
        </w:rPr>
        <w:t>依照《中华人民共和国合同法》第一百九十六条、第二百零五条、第二百零六条、第二百零七条、《中华人民共和国担保法》第十八条、第二十六条、《中华人民共和国民事诉讼法》第一百四十四条、第一百六十二条之规定，判决如下：</w:t>
      </w:r>
    </w:p>
    <w:p w14:paraId="742276DA" w14:textId="77777777" w:rsidR="00000000" w:rsidRDefault="00C713F4">
      <w:pPr>
        <w:spacing w:line="500" w:lineRule="atLeast"/>
        <w:ind w:firstLine="600"/>
        <w:divId w:val="196817451"/>
        <w:rPr>
          <w:rFonts w:hint="eastAsia"/>
          <w:sz w:val="30"/>
          <w:szCs w:val="30"/>
          <w:highlight w:val="yellow"/>
        </w:rPr>
      </w:pPr>
      <w:r>
        <w:rPr>
          <w:rFonts w:hint="eastAsia"/>
          <w:sz w:val="30"/>
          <w:szCs w:val="30"/>
          <w:highlight w:val="yellow"/>
        </w:rPr>
        <w:t>一、被</w:t>
      </w:r>
      <w:r>
        <w:rPr>
          <w:rFonts w:hint="eastAsia"/>
          <w:sz w:val="30"/>
          <w:szCs w:val="30"/>
          <w:highlight w:val="yellow"/>
        </w:rPr>
        <w:t>告叶昌雷于本判决生效之日起十五日内偿还原告周兆露借款</w:t>
      </w:r>
      <w:r>
        <w:rPr>
          <w:rFonts w:hint="eastAsia"/>
          <w:sz w:val="30"/>
          <w:szCs w:val="30"/>
          <w:highlight w:val="yellow"/>
        </w:rPr>
        <w:t>14164</w:t>
      </w:r>
      <w:r>
        <w:rPr>
          <w:rFonts w:hint="eastAsia"/>
          <w:sz w:val="30"/>
          <w:szCs w:val="30"/>
          <w:highlight w:val="yellow"/>
        </w:rPr>
        <w:t>元及利息（从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29</w:t>
      </w:r>
      <w:r>
        <w:rPr>
          <w:rFonts w:hint="eastAsia"/>
          <w:sz w:val="30"/>
          <w:szCs w:val="30"/>
          <w:highlight w:val="yellow"/>
        </w:rPr>
        <w:t>日起按月利率</w:t>
      </w:r>
      <w:r>
        <w:rPr>
          <w:rFonts w:hint="eastAsia"/>
          <w:sz w:val="30"/>
          <w:szCs w:val="30"/>
          <w:highlight w:val="yellow"/>
        </w:rPr>
        <w:t>1.5%</w:t>
      </w:r>
      <w:r>
        <w:rPr>
          <w:rFonts w:hint="eastAsia"/>
          <w:sz w:val="30"/>
          <w:szCs w:val="30"/>
          <w:highlight w:val="yellow"/>
        </w:rPr>
        <w:t>计算至判决确定履行之日止）；</w:t>
      </w:r>
    </w:p>
    <w:p w14:paraId="69367B29" w14:textId="77777777" w:rsidR="00000000" w:rsidRDefault="00C713F4">
      <w:pPr>
        <w:spacing w:line="500" w:lineRule="atLeast"/>
        <w:ind w:firstLine="600"/>
        <w:divId w:val="869341616"/>
        <w:rPr>
          <w:rFonts w:hint="eastAsia"/>
          <w:sz w:val="30"/>
          <w:szCs w:val="30"/>
        </w:rPr>
      </w:pPr>
      <w:r>
        <w:rPr>
          <w:rFonts w:hint="eastAsia"/>
          <w:sz w:val="30"/>
          <w:szCs w:val="30"/>
          <w:highlight w:val="yellow"/>
        </w:rPr>
        <w:t>二、被告叶昌雷于本判决生效之日起十五日内支付原告周兆露律师代理费</w:t>
      </w:r>
      <w:r>
        <w:rPr>
          <w:rFonts w:hint="eastAsia"/>
          <w:sz w:val="30"/>
          <w:szCs w:val="30"/>
          <w:highlight w:val="yellow"/>
        </w:rPr>
        <w:t>2500</w:t>
      </w:r>
      <w:r>
        <w:rPr>
          <w:rFonts w:hint="eastAsia"/>
          <w:sz w:val="30"/>
          <w:szCs w:val="30"/>
          <w:highlight w:val="yellow"/>
        </w:rPr>
        <w:t>元；</w:t>
      </w:r>
    </w:p>
    <w:p w14:paraId="6A1FB85F" w14:textId="77777777" w:rsidR="00000000" w:rsidRDefault="00C713F4">
      <w:pPr>
        <w:spacing w:line="500" w:lineRule="atLeast"/>
        <w:ind w:firstLine="600"/>
        <w:rPr>
          <w:rFonts w:hint="eastAsia"/>
          <w:sz w:val="30"/>
          <w:szCs w:val="30"/>
        </w:rPr>
      </w:pPr>
      <w:r>
        <w:rPr>
          <w:rFonts w:hint="eastAsia"/>
          <w:sz w:val="30"/>
          <w:szCs w:val="30"/>
        </w:rPr>
        <w:t>三、驳回原告周兆露的其他诉讼请求。</w:t>
      </w:r>
    </w:p>
    <w:p w14:paraId="5DF1049A" w14:textId="77777777" w:rsidR="00000000" w:rsidRDefault="00C713F4">
      <w:pPr>
        <w:spacing w:line="500" w:lineRule="atLeast"/>
        <w:ind w:firstLine="600"/>
        <w:divId w:val="264266187"/>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024A7DF6" w14:textId="77777777" w:rsidR="00000000" w:rsidRDefault="00C713F4">
      <w:pPr>
        <w:spacing w:line="500" w:lineRule="atLeast"/>
        <w:ind w:firstLine="600"/>
        <w:divId w:val="1391028558"/>
        <w:rPr>
          <w:rFonts w:hint="eastAsia"/>
          <w:sz w:val="30"/>
          <w:szCs w:val="30"/>
        </w:rPr>
      </w:pPr>
      <w:r>
        <w:rPr>
          <w:rFonts w:hint="eastAsia"/>
          <w:sz w:val="30"/>
          <w:szCs w:val="30"/>
        </w:rPr>
        <w:t>案件受理费</w:t>
      </w:r>
      <w:r>
        <w:rPr>
          <w:rFonts w:hint="eastAsia"/>
          <w:sz w:val="30"/>
          <w:szCs w:val="30"/>
        </w:rPr>
        <w:t>218</w:t>
      </w:r>
      <w:r>
        <w:rPr>
          <w:rFonts w:hint="eastAsia"/>
          <w:sz w:val="30"/>
          <w:szCs w:val="30"/>
        </w:rPr>
        <w:t>元，减半收取</w:t>
      </w:r>
      <w:r>
        <w:rPr>
          <w:rFonts w:hint="eastAsia"/>
          <w:sz w:val="30"/>
          <w:szCs w:val="30"/>
        </w:rPr>
        <w:t>109</w:t>
      </w:r>
      <w:r>
        <w:rPr>
          <w:rFonts w:hint="eastAsia"/>
          <w:sz w:val="30"/>
          <w:szCs w:val="30"/>
        </w:rPr>
        <w:t>元，由周兆露负担</w:t>
      </w:r>
      <w:r>
        <w:rPr>
          <w:rFonts w:hint="eastAsia"/>
          <w:sz w:val="30"/>
          <w:szCs w:val="30"/>
        </w:rPr>
        <w:t>6</w:t>
      </w:r>
      <w:r>
        <w:rPr>
          <w:rFonts w:hint="eastAsia"/>
          <w:sz w:val="30"/>
          <w:szCs w:val="30"/>
        </w:rPr>
        <w:t>元，叶昌雷负担</w:t>
      </w:r>
      <w:r>
        <w:rPr>
          <w:rFonts w:hint="eastAsia"/>
          <w:sz w:val="30"/>
          <w:szCs w:val="30"/>
        </w:rPr>
        <w:t>103</w:t>
      </w:r>
      <w:r>
        <w:rPr>
          <w:rFonts w:hint="eastAsia"/>
          <w:sz w:val="30"/>
          <w:szCs w:val="30"/>
        </w:rPr>
        <w:t>元。</w:t>
      </w:r>
    </w:p>
    <w:p w14:paraId="7ECEFD10" w14:textId="77777777" w:rsidR="00000000" w:rsidRDefault="00C713F4">
      <w:pPr>
        <w:spacing w:line="500" w:lineRule="atLeast"/>
        <w:ind w:firstLine="600"/>
        <w:divId w:val="33964717"/>
        <w:rPr>
          <w:rFonts w:hint="eastAsia"/>
          <w:sz w:val="30"/>
          <w:szCs w:val="30"/>
        </w:rPr>
      </w:pPr>
      <w:r>
        <w:rPr>
          <w:rFonts w:hint="eastAsia"/>
          <w:sz w:val="30"/>
          <w:szCs w:val="30"/>
        </w:rPr>
        <w:t>本判决为终审判决。</w:t>
      </w:r>
    </w:p>
    <w:p w14:paraId="65CF3F94" w14:textId="77777777" w:rsidR="00000000" w:rsidRDefault="00C713F4">
      <w:pPr>
        <w:spacing w:line="500" w:lineRule="atLeast"/>
        <w:jc w:val="right"/>
        <w:divId w:val="5374420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包崇鸽</w:t>
      </w:r>
    </w:p>
    <w:p w14:paraId="5AC70FC5" w14:textId="77777777" w:rsidR="00000000" w:rsidRDefault="00C713F4">
      <w:pPr>
        <w:spacing w:line="500" w:lineRule="atLeast"/>
        <w:jc w:val="right"/>
        <w:divId w:val="336690295"/>
        <w:rPr>
          <w:rFonts w:hint="eastAsia"/>
          <w:sz w:val="30"/>
          <w:szCs w:val="30"/>
        </w:rPr>
      </w:pPr>
      <w:r>
        <w:rPr>
          <w:rFonts w:hint="eastAsia"/>
          <w:sz w:val="30"/>
          <w:szCs w:val="30"/>
        </w:rPr>
        <w:t>二〇一</w:t>
      </w:r>
      <w:r>
        <w:rPr>
          <w:rFonts w:hint="eastAsia"/>
          <w:sz w:val="30"/>
          <w:szCs w:val="30"/>
        </w:rPr>
        <w:t>六年六月二十二日</w:t>
      </w:r>
    </w:p>
    <w:p w14:paraId="21B4CDD6" w14:textId="77777777" w:rsidR="00000000" w:rsidRDefault="00C713F4">
      <w:pPr>
        <w:spacing w:line="500" w:lineRule="atLeast"/>
        <w:jc w:val="right"/>
        <w:divId w:val="488640269"/>
        <w:rPr>
          <w:rFonts w:hint="eastAsia"/>
          <w:sz w:val="30"/>
          <w:szCs w:val="30"/>
        </w:rPr>
      </w:pPr>
      <w:r>
        <w:rPr>
          <w:rFonts w:hint="eastAsia"/>
          <w:sz w:val="30"/>
          <w:szCs w:val="30"/>
        </w:rPr>
        <w:t>代书记员　张　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2DFF" w14:textId="77777777" w:rsidR="00C713F4" w:rsidRDefault="00C713F4" w:rsidP="00C713F4">
      <w:r>
        <w:separator/>
      </w:r>
    </w:p>
  </w:endnote>
  <w:endnote w:type="continuationSeparator" w:id="0">
    <w:p w14:paraId="63F753A0" w14:textId="77777777" w:rsidR="00C713F4" w:rsidRDefault="00C713F4" w:rsidP="00C7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5958" w14:textId="77777777" w:rsidR="00C713F4" w:rsidRDefault="00C713F4" w:rsidP="00C713F4">
      <w:r>
        <w:separator/>
      </w:r>
    </w:p>
  </w:footnote>
  <w:footnote w:type="continuationSeparator" w:id="0">
    <w:p w14:paraId="459F7B43" w14:textId="77777777" w:rsidR="00C713F4" w:rsidRDefault="00C713F4" w:rsidP="00C713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13F4"/>
    <w:rsid w:val="00C7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8D408"/>
  <w15:chartTrackingRefBased/>
  <w15:docId w15:val="{3D7AD8A4-D3B3-4530-9139-5EFA2A80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1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13F4"/>
    <w:rPr>
      <w:rFonts w:ascii="宋体" w:eastAsia="宋体" w:hAnsi="宋体" w:cs="宋体"/>
      <w:sz w:val="18"/>
      <w:szCs w:val="18"/>
    </w:rPr>
  </w:style>
  <w:style w:type="paragraph" w:styleId="a5">
    <w:name w:val="footer"/>
    <w:basedOn w:val="a"/>
    <w:link w:val="a6"/>
    <w:uiPriority w:val="99"/>
    <w:unhideWhenUsed/>
    <w:rsid w:val="00C713F4"/>
    <w:pPr>
      <w:tabs>
        <w:tab w:val="center" w:pos="4153"/>
        <w:tab w:val="right" w:pos="8306"/>
      </w:tabs>
      <w:snapToGrid w:val="0"/>
    </w:pPr>
    <w:rPr>
      <w:sz w:val="18"/>
      <w:szCs w:val="18"/>
    </w:rPr>
  </w:style>
  <w:style w:type="character" w:customStyle="1" w:styleId="a6">
    <w:name w:val="页脚 字符"/>
    <w:basedOn w:val="a0"/>
    <w:link w:val="a5"/>
    <w:uiPriority w:val="99"/>
    <w:rsid w:val="00C713F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4717">
      <w:marLeft w:val="0"/>
      <w:marRight w:val="0"/>
      <w:marTop w:val="10"/>
      <w:marBottom w:val="10"/>
      <w:divBdr>
        <w:top w:val="none" w:sz="0" w:space="0" w:color="auto"/>
        <w:left w:val="none" w:sz="0" w:space="0" w:color="auto"/>
        <w:bottom w:val="none" w:sz="0" w:space="0" w:color="auto"/>
        <w:right w:val="none" w:sz="0" w:space="0" w:color="auto"/>
      </w:divBdr>
    </w:div>
    <w:div w:id="53744208">
      <w:marLeft w:val="0"/>
      <w:marRight w:val="720"/>
      <w:marTop w:val="10"/>
      <w:marBottom w:val="10"/>
      <w:divBdr>
        <w:top w:val="none" w:sz="0" w:space="0" w:color="auto"/>
        <w:left w:val="none" w:sz="0" w:space="0" w:color="auto"/>
        <w:bottom w:val="none" w:sz="0" w:space="0" w:color="auto"/>
        <w:right w:val="none" w:sz="0" w:space="0" w:color="auto"/>
      </w:divBdr>
    </w:div>
    <w:div w:id="91317200">
      <w:marLeft w:val="0"/>
      <w:marRight w:val="0"/>
      <w:marTop w:val="10"/>
      <w:marBottom w:val="10"/>
      <w:divBdr>
        <w:top w:val="none" w:sz="0" w:space="0" w:color="auto"/>
        <w:left w:val="none" w:sz="0" w:space="0" w:color="auto"/>
        <w:bottom w:val="none" w:sz="0" w:space="0" w:color="auto"/>
        <w:right w:val="none" w:sz="0" w:space="0" w:color="auto"/>
      </w:divBdr>
    </w:div>
    <w:div w:id="196817451">
      <w:marLeft w:val="0"/>
      <w:marRight w:val="0"/>
      <w:marTop w:val="10"/>
      <w:marBottom w:val="10"/>
      <w:divBdr>
        <w:top w:val="none" w:sz="0" w:space="0" w:color="auto"/>
        <w:left w:val="none" w:sz="0" w:space="0" w:color="auto"/>
        <w:bottom w:val="none" w:sz="0" w:space="0" w:color="auto"/>
        <w:right w:val="none" w:sz="0" w:space="0" w:color="auto"/>
      </w:divBdr>
    </w:div>
    <w:div w:id="264266187">
      <w:marLeft w:val="0"/>
      <w:marRight w:val="0"/>
      <w:marTop w:val="10"/>
      <w:marBottom w:val="10"/>
      <w:divBdr>
        <w:top w:val="none" w:sz="0" w:space="0" w:color="auto"/>
        <w:left w:val="none" w:sz="0" w:space="0" w:color="auto"/>
        <w:bottom w:val="none" w:sz="0" w:space="0" w:color="auto"/>
        <w:right w:val="none" w:sz="0" w:space="0" w:color="auto"/>
      </w:divBdr>
    </w:div>
    <w:div w:id="330528640">
      <w:marLeft w:val="0"/>
      <w:marRight w:val="0"/>
      <w:marTop w:val="10"/>
      <w:marBottom w:val="10"/>
      <w:divBdr>
        <w:top w:val="none" w:sz="0" w:space="0" w:color="auto"/>
        <w:left w:val="none" w:sz="0" w:space="0" w:color="auto"/>
        <w:bottom w:val="none" w:sz="0" w:space="0" w:color="auto"/>
        <w:right w:val="none" w:sz="0" w:space="0" w:color="auto"/>
      </w:divBdr>
    </w:div>
    <w:div w:id="336690295">
      <w:marLeft w:val="0"/>
      <w:marRight w:val="720"/>
      <w:marTop w:val="10"/>
      <w:marBottom w:val="10"/>
      <w:divBdr>
        <w:top w:val="none" w:sz="0" w:space="0" w:color="auto"/>
        <w:left w:val="none" w:sz="0" w:space="0" w:color="auto"/>
        <w:bottom w:val="none" w:sz="0" w:space="0" w:color="auto"/>
        <w:right w:val="none" w:sz="0" w:space="0" w:color="auto"/>
      </w:divBdr>
    </w:div>
    <w:div w:id="488640269">
      <w:marLeft w:val="0"/>
      <w:marRight w:val="720"/>
      <w:marTop w:val="10"/>
      <w:marBottom w:val="10"/>
      <w:divBdr>
        <w:top w:val="none" w:sz="0" w:space="0" w:color="auto"/>
        <w:left w:val="none" w:sz="0" w:space="0" w:color="auto"/>
        <w:bottom w:val="none" w:sz="0" w:space="0" w:color="auto"/>
        <w:right w:val="none" w:sz="0" w:space="0" w:color="auto"/>
      </w:divBdr>
    </w:div>
    <w:div w:id="745228158">
      <w:marLeft w:val="0"/>
      <w:marRight w:val="0"/>
      <w:marTop w:val="10"/>
      <w:marBottom w:val="10"/>
      <w:divBdr>
        <w:top w:val="none" w:sz="0" w:space="0" w:color="auto"/>
        <w:left w:val="none" w:sz="0" w:space="0" w:color="auto"/>
        <w:bottom w:val="none" w:sz="0" w:space="0" w:color="auto"/>
        <w:right w:val="none" w:sz="0" w:space="0" w:color="auto"/>
      </w:divBdr>
    </w:div>
    <w:div w:id="869341616">
      <w:marLeft w:val="0"/>
      <w:marRight w:val="0"/>
      <w:marTop w:val="10"/>
      <w:marBottom w:val="10"/>
      <w:divBdr>
        <w:top w:val="none" w:sz="0" w:space="0" w:color="auto"/>
        <w:left w:val="none" w:sz="0" w:space="0" w:color="auto"/>
        <w:bottom w:val="none" w:sz="0" w:space="0" w:color="auto"/>
        <w:right w:val="none" w:sz="0" w:space="0" w:color="auto"/>
      </w:divBdr>
    </w:div>
    <w:div w:id="997877029">
      <w:marLeft w:val="0"/>
      <w:marRight w:val="0"/>
      <w:marTop w:val="10"/>
      <w:marBottom w:val="10"/>
      <w:divBdr>
        <w:top w:val="none" w:sz="0" w:space="0" w:color="auto"/>
        <w:left w:val="none" w:sz="0" w:space="0" w:color="auto"/>
        <w:bottom w:val="none" w:sz="0" w:space="0" w:color="auto"/>
        <w:right w:val="none" w:sz="0" w:space="0" w:color="auto"/>
      </w:divBdr>
    </w:div>
    <w:div w:id="1074618895">
      <w:marLeft w:val="0"/>
      <w:marRight w:val="0"/>
      <w:marTop w:val="10"/>
      <w:marBottom w:val="10"/>
      <w:divBdr>
        <w:top w:val="none" w:sz="0" w:space="0" w:color="auto"/>
        <w:left w:val="none" w:sz="0" w:space="0" w:color="auto"/>
        <w:bottom w:val="none" w:sz="0" w:space="0" w:color="auto"/>
        <w:right w:val="none" w:sz="0" w:space="0" w:color="auto"/>
      </w:divBdr>
    </w:div>
    <w:div w:id="1115632369">
      <w:marLeft w:val="0"/>
      <w:marRight w:val="0"/>
      <w:marTop w:val="10"/>
      <w:marBottom w:val="10"/>
      <w:divBdr>
        <w:top w:val="none" w:sz="0" w:space="0" w:color="auto"/>
        <w:left w:val="none" w:sz="0" w:space="0" w:color="auto"/>
        <w:bottom w:val="none" w:sz="0" w:space="0" w:color="auto"/>
        <w:right w:val="none" w:sz="0" w:space="0" w:color="auto"/>
      </w:divBdr>
    </w:div>
    <w:div w:id="1391028558">
      <w:marLeft w:val="0"/>
      <w:marRight w:val="0"/>
      <w:marTop w:val="10"/>
      <w:marBottom w:val="10"/>
      <w:divBdr>
        <w:top w:val="none" w:sz="0" w:space="0" w:color="auto"/>
        <w:left w:val="none" w:sz="0" w:space="0" w:color="auto"/>
        <w:bottom w:val="none" w:sz="0" w:space="0" w:color="auto"/>
        <w:right w:val="none" w:sz="0" w:space="0" w:color="auto"/>
      </w:divBdr>
    </w:div>
    <w:div w:id="1541242168">
      <w:marLeft w:val="0"/>
      <w:marRight w:val="0"/>
      <w:marTop w:val="10"/>
      <w:marBottom w:val="10"/>
      <w:divBdr>
        <w:top w:val="none" w:sz="0" w:space="0" w:color="auto"/>
        <w:left w:val="none" w:sz="0" w:space="0" w:color="auto"/>
        <w:bottom w:val="none" w:sz="0" w:space="0" w:color="auto"/>
        <w:right w:val="none" w:sz="0" w:space="0" w:color="auto"/>
      </w:divBdr>
    </w:div>
    <w:div w:id="1636837097">
      <w:marLeft w:val="0"/>
      <w:marRight w:val="0"/>
      <w:marTop w:val="10"/>
      <w:marBottom w:val="10"/>
      <w:divBdr>
        <w:top w:val="none" w:sz="0" w:space="0" w:color="auto"/>
        <w:left w:val="none" w:sz="0" w:space="0" w:color="auto"/>
        <w:bottom w:val="none" w:sz="0" w:space="0" w:color="auto"/>
        <w:right w:val="none" w:sz="0" w:space="0" w:color="auto"/>
      </w:divBdr>
    </w:div>
    <w:div w:id="1798529785">
      <w:marLeft w:val="0"/>
      <w:marRight w:val="0"/>
      <w:marTop w:val="10"/>
      <w:marBottom w:val="10"/>
      <w:divBdr>
        <w:top w:val="none" w:sz="0" w:space="0" w:color="auto"/>
        <w:left w:val="none" w:sz="0" w:space="0" w:color="auto"/>
        <w:bottom w:val="none" w:sz="0" w:space="0" w:color="auto"/>
        <w:right w:val="none" w:sz="0" w:space="0" w:color="auto"/>
      </w:divBdr>
    </w:div>
    <w:div w:id="20748835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