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1803" w14:textId="77777777" w:rsidR="00000000" w:rsidRDefault="001F082B">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陈宗山与顾成良、孙会荣民间借贷纠纷案</w:t>
      </w:r>
    </w:p>
    <w:p w14:paraId="19CAFD70" w14:textId="77777777" w:rsidR="00000000" w:rsidRDefault="001F082B">
      <w:pPr>
        <w:ind w:left="375" w:right="375"/>
        <w:rPr>
          <w:rFonts w:ascii="Arial" w:eastAsia="Arial" w:hAnsi="Arial" w:cs="Arial"/>
          <w:lang w:val="en-US" w:eastAsia="zh-CN" w:bidi="ar-SA"/>
        </w:rPr>
      </w:pPr>
      <w:r>
        <w:rPr>
          <w:rFonts w:ascii="Arial" w:eastAsia="Arial" w:hAnsi="Arial" w:cs="Arial"/>
          <w:lang w:val="en-US" w:eastAsia="zh-CN" w:bidi="ar-SA"/>
        </w:rPr>
        <w:br/>
      </w:r>
    </w:p>
    <w:p w14:paraId="1B697D11" w14:textId="77777777" w:rsidR="00000000" w:rsidRDefault="001F082B">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陈宗山与顾成良、孙会荣民间借贷纠纷案</w:t>
      </w:r>
    </w:p>
    <w:p w14:paraId="38EFC4AD" w14:textId="77777777" w:rsidR="00000000" w:rsidRDefault="001F082B">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158EFF8" w14:textId="77777777" w:rsidR="00000000" w:rsidRDefault="001F082B">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01201</w:t>
      </w:r>
      <w:r>
        <w:rPr>
          <w:rStyle w:val="span"/>
          <w:rFonts w:ascii="宋体" w:eastAsia="宋体" w:hAnsi="宋体" w:cs="宋体"/>
          <w:color w:val="000000"/>
          <w:sz w:val="27"/>
          <w:szCs w:val="27"/>
          <w:lang w:val="en-US" w:eastAsia="zh-CN" w:bidi="ar-SA"/>
        </w:rPr>
        <w:t>号</w:t>
      </w:r>
    </w:p>
    <w:p w14:paraId="2BFAF61B" w14:textId="77777777" w:rsidR="00000000" w:rsidRDefault="001F082B">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原告：陈宗山。</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被告：顾成良。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被告：孙会荣。</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宗山诉被告顾成良、孙会荣民间借贷纠纷一案，本院受理后，依法组成合议庭，公开开庭进行了审理。原告陈宗山到庭参加诉讼，被告顾成良经本院传票传唤，被告孙会荣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原告陈宗山诉称：被告顾成良、孙会荣系夫</w:t>
      </w:r>
      <w:r>
        <w:rPr>
          <w:rFonts w:ascii="宋体" w:eastAsia="宋体" w:hAnsi="宋体" w:cs="宋体"/>
          <w:color w:val="000000"/>
          <w:sz w:val="27"/>
          <w:szCs w:val="27"/>
          <w:lang w:val="en-US" w:eastAsia="zh-CN" w:bidi="ar-SA"/>
        </w:rPr>
        <w:t>妻关系。</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日，两人以做生意资金困难为由向原告借款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元，并承诺</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个月后归还，</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个月后，被告并未按约定返还上述借款，原告多次催要，被告均不予理睬，后于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日经包河区法院诉前调解，被告顾成良承诺</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日前付清借款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元，并在包河区法院调解室现场出具一张</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元欠条，借款本金及部分利息合计</w:t>
      </w:r>
      <w:r>
        <w:rPr>
          <w:rFonts w:ascii="宋体" w:eastAsia="宋体" w:hAnsi="宋体" w:cs="宋体"/>
          <w:color w:val="000000"/>
          <w:sz w:val="27"/>
          <w:szCs w:val="27"/>
          <w:lang w:val="en-US" w:eastAsia="zh-CN" w:bidi="ar-SA"/>
        </w:rPr>
        <w:t>66000</w:t>
      </w:r>
      <w:r>
        <w:rPr>
          <w:rFonts w:ascii="宋体" w:eastAsia="宋体" w:hAnsi="宋体" w:cs="宋体"/>
          <w:color w:val="000000"/>
          <w:sz w:val="27"/>
          <w:szCs w:val="27"/>
          <w:lang w:val="en-US" w:eastAsia="zh-CN" w:bidi="ar-SA"/>
        </w:rPr>
        <w:t>元，但仍未按期归还。为此诉请判令：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、两被告偿还原告</w:t>
      </w:r>
      <w:r>
        <w:rPr>
          <w:rFonts w:ascii="宋体" w:eastAsia="宋体" w:hAnsi="宋体" w:cs="宋体"/>
          <w:color w:val="000000"/>
          <w:sz w:val="27"/>
          <w:szCs w:val="27"/>
          <w:lang w:val="en-US" w:eastAsia="zh-CN" w:bidi="ar-SA"/>
        </w:rPr>
        <w:t>66000</w:t>
      </w:r>
      <w:r>
        <w:rPr>
          <w:rFonts w:ascii="宋体" w:eastAsia="宋体" w:hAnsi="宋体" w:cs="宋体"/>
          <w:color w:val="000000"/>
          <w:sz w:val="27"/>
          <w:szCs w:val="27"/>
          <w:lang w:val="en-US" w:eastAsia="zh-CN" w:bidi="ar-SA"/>
        </w:rPr>
        <w:t>元（本金</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万元和利息</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、本案诉讼费由两被告承担。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被告顾</w:t>
      </w:r>
      <w:r>
        <w:rPr>
          <w:rFonts w:ascii="宋体" w:eastAsia="宋体" w:hAnsi="宋体" w:cs="宋体"/>
          <w:color w:val="000000"/>
          <w:sz w:val="27"/>
          <w:szCs w:val="27"/>
          <w:lang w:val="en-US" w:eastAsia="zh-CN" w:bidi="ar-SA"/>
        </w:rPr>
        <w:t>成良、孙会荣未作辩解与提供证据。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lastRenderedPageBreak/>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日，被告顾成良、孙会荣共同向原告陈宗山借款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元，未曾书面约定借款和利率。后因被告未还款，原告于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日向本院咨询，经本院诉前调解，被告顾成良写下欠条，意为</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日前归还借款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元，支付利息</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元。期满后，两被告仍未归还，原告为此诉至本院。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另查明，被告顾成良、孙会荣于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日办理了离婚登记。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上述事实，有原告提供的双方身份信息、借据、欠条及婚姻登记记录证明及其当庭陈述予</w:t>
      </w:r>
      <w:r>
        <w:rPr>
          <w:rFonts w:ascii="宋体" w:eastAsia="宋体" w:hAnsi="宋体" w:cs="宋体"/>
          <w:color w:val="000000"/>
          <w:sz w:val="27"/>
          <w:szCs w:val="27"/>
          <w:lang w:val="en-US" w:eastAsia="zh-CN" w:bidi="ar-SA"/>
        </w:rPr>
        <w:t>以证实。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被告顾成良、孙会荣向原告陈宗山借款并出具借条，其借贷事实清楚，原、被告之间形成了借款合同关系，本院予以确认。借款合同中未约定借款利率，被告事后承诺的利息</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元，根据借款时间、金额折算，也未超出法律法规对民间借贷的限制性利率规定，本院予以支持。两被告分别经本院直接送达或公告送达开庭传票均未到庭，视为放弃抗辩。据此，</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1" w:anchor="tiao_211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被告顾成良、孙会荣于本判决生效之日起五日内支付原告陈宗山借款本金</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1450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2250</w:t>
      </w:r>
      <w:r>
        <w:rPr>
          <w:rFonts w:ascii="宋体" w:eastAsia="宋体" w:hAnsi="宋体" w:cs="宋体"/>
          <w:color w:val="000000"/>
          <w:sz w:val="27"/>
          <w:szCs w:val="27"/>
          <w:lang w:val="en-US" w:eastAsia="zh-CN" w:bidi="ar-SA"/>
        </w:rPr>
        <w:t>元，由被告顾成良、孙会荣负担。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w:t>
      </w:r>
      <w:r>
        <w:rPr>
          <w:rFonts w:ascii="宋体" w:eastAsia="宋体" w:hAnsi="宋体" w:cs="宋体"/>
          <w:color w:val="000000"/>
          <w:sz w:val="27"/>
          <w:szCs w:val="27"/>
          <w:lang w:val="en-US" w:eastAsia="zh-CN" w:bidi="ar-SA"/>
        </w:rPr>
        <w:t>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5C02AB2" w14:textId="77777777" w:rsidR="00000000" w:rsidRDefault="001F082B">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贾云波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二〇一五年七月十七日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罗晓洁</w:t>
      </w:r>
    </w:p>
    <w:p w14:paraId="4832D40B" w14:textId="77777777" w:rsidR="00000000" w:rsidRDefault="001F082B">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w:t>
      </w:r>
      <w:r>
        <w:rPr>
          <w:rFonts w:ascii="宋体" w:eastAsia="宋体" w:hAnsi="宋体" w:cs="宋体"/>
          <w:color w:val="000000"/>
          <w:sz w:val="27"/>
          <w:szCs w:val="27"/>
          <w:lang w:val="en-US" w:eastAsia="zh-CN" w:bidi="ar-SA"/>
        </w:rPr>
        <w:t>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第二百一十一条自然人之间的借款合同对支付的利息没有约定或者约定不明确的，视为不支付利息。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60FD7A9E" w14:textId="77777777" w:rsidR="00000000" w:rsidRDefault="001F082B">
      <w:pPr>
        <w:ind w:left="375" w:right="375"/>
        <w:rPr>
          <w:rFonts w:ascii="Arial" w:eastAsia="Arial" w:hAnsi="Arial" w:cs="Arial"/>
          <w:lang w:val="en-US" w:eastAsia="zh-CN" w:bidi="ar-SA"/>
        </w:rPr>
      </w:pPr>
      <w:r>
        <w:rPr>
          <w:rFonts w:ascii="Arial" w:eastAsia="Arial" w:hAnsi="Arial" w:cs="Arial"/>
          <w:lang w:val="en-US" w:eastAsia="zh-CN" w:bidi="ar-SA"/>
        </w:rPr>
        <w:br/>
      </w:r>
    </w:p>
    <w:p w14:paraId="7755EA51" w14:textId="77777777" w:rsidR="00000000" w:rsidRDefault="00A77B3E">
      <w:pPr>
        <w:spacing w:line="630" w:lineRule="atLeast"/>
        <w:rPr>
          <w:rFonts w:eastAsia="Times New Roman"/>
          <w:sz w:val="26"/>
          <w:szCs w:val="26"/>
          <w:lang w:val="en-US" w:eastAsia="zh-CN" w:bidi="ar-SA"/>
        </w:rPr>
      </w:pPr>
      <w:r>
        <w:br w:type="page"/>
      </w:r>
      <w:r w:rsidR="001F082B">
        <w:rPr>
          <w:rFonts w:eastAsia="Times New Roman"/>
          <w:sz w:val="26"/>
          <w:szCs w:val="26"/>
          <w:lang w:val="en-US" w:eastAsia="zh-CN" w:bidi="ar-SA"/>
        </w:rPr>
        <w:t>©北大法宝：（</w:t>
      </w:r>
      <w:hyperlink r:id="rId18" w:history="1">
        <w:r w:rsidR="001F082B">
          <w:rPr>
            <w:rFonts w:eastAsia="Times New Roman"/>
            <w:color w:val="218FC4"/>
            <w:sz w:val="26"/>
            <w:szCs w:val="26"/>
            <w:u w:val="single" w:color="218FC4"/>
            <w:lang w:val="en-US" w:eastAsia="zh-CN" w:bidi="ar-SA"/>
          </w:rPr>
          <w:t>www.pkulaw.com</w:t>
        </w:r>
      </w:hyperlink>
      <w:r w:rsidR="001F082B">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9" w:tgtFrame="_blank" w:history="1">
        <w:r w:rsidR="001F082B">
          <w:rPr>
            <w:rFonts w:eastAsia="Times New Roman"/>
            <w:color w:val="218FC4"/>
            <w:sz w:val="26"/>
            <w:szCs w:val="26"/>
            <w:u w:val="single" w:color="218FC4"/>
            <w:lang w:val="en-US" w:eastAsia="zh-CN" w:bidi="ar-SA"/>
          </w:rPr>
          <w:t>产品和服务</w:t>
        </w:r>
      </w:hyperlink>
      <w:r w:rsidR="001F082B">
        <w:rPr>
          <w:rFonts w:eastAsia="Times New Roman"/>
          <w:sz w:val="26"/>
          <w:szCs w:val="26"/>
          <w:lang w:val="en-US" w:eastAsia="zh-CN" w:bidi="ar-SA"/>
        </w:rPr>
        <w:t>。</w:t>
      </w:r>
      <w:r w:rsidR="001F082B">
        <w:rPr>
          <w:rFonts w:eastAsia="Times New Roman"/>
          <w:sz w:val="26"/>
          <w:szCs w:val="26"/>
          <w:lang w:val="en-US" w:eastAsia="zh-CN" w:bidi="ar-SA"/>
        </w:rPr>
        <w:br/>
      </w:r>
      <w:hyperlink r:id="rId20" w:tgtFrame="_blank" w:history="1">
        <w:r w:rsidR="001F082B">
          <w:rPr>
            <w:rFonts w:eastAsia="Times New Roman"/>
            <w:color w:val="218FC4"/>
            <w:sz w:val="26"/>
            <w:szCs w:val="26"/>
            <w:u w:val="single" w:color="218FC4"/>
            <w:lang w:val="en-US" w:eastAsia="zh-CN" w:bidi="ar-SA"/>
          </w:rPr>
          <w:t>法宝快讯： 如何快速找到您需要的检索结果？ 法宝 V6 有何新特色？</w:t>
        </w:r>
      </w:hyperlink>
    </w:p>
    <w:p w14:paraId="360B2D59" w14:textId="77777777" w:rsidR="00000000" w:rsidRDefault="001F082B">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1" o:title=""/>
          </v:shape>
        </w:pict>
      </w:r>
    </w:p>
    <w:p w14:paraId="65D775FD" w14:textId="77777777" w:rsidR="00000000" w:rsidRDefault="001F082B">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5D64FC4" w14:textId="77777777" w:rsidR="00000000" w:rsidRDefault="001F082B">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2" w:tgtFrame="_blank" w:history="1">
        <w:r>
          <w:rPr>
            <w:rFonts w:eastAsia="Times New Roman"/>
            <w:color w:val="000000"/>
            <w:sz w:val="26"/>
            <w:szCs w:val="26"/>
            <w:u w:val="single" w:color="000000"/>
            <w:lang w:val="en-US" w:eastAsia="zh-CN" w:bidi="ar-SA"/>
          </w:rPr>
          <w:t>https:</w:t>
        </w:r>
        <w:r>
          <w:rPr>
            <w:rFonts w:eastAsia="Times New Roman"/>
            <w:color w:val="000000"/>
            <w:sz w:val="26"/>
            <w:szCs w:val="26"/>
            <w:u w:val="single" w:color="000000"/>
            <w:lang w:val="en-US" w:eastAsia="zh-CN" w:bidi="ar-SA"/>
          </w:rPr>
          <w:t xml:space="preserve">//www.pkulaw.com/pfnl/a25051f3312b07f3d783d681dd03b0b1ca6ed5078684ab07bdfb.html </w:t>
        </w:r>
      </w:hyperlink>
    </w:p>
    <w:p w14:paraId="59BED869" w14:textId="77777777" w:rsidR="00A77B3E" w:rsidRDefault="00A77B3E"/>
    <w:sectPr w:rsidR="00A77B3E">
      <w:headerReference w:type="default" r:id="rId23"/>
      <w:footerReference w:type="default" r:id="rId2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15C6" w14:textId="77777777" w:rsidR="00000000" w:rsidRDefault="001F082B">
      <w:r>
        <w:separator/>
      </w:r>
    </w:p>
  </w:endnote>
  <w:endnote w:type="continuationSeparator" w:id="0">
    <w:p w14:paraId="062F3F38" w14:textId="77777777" w:rsidR="00000000" w:rsidRDefault="001F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CF40268" w14:textId="77777777">
      <w:trPr>
        <w:tblCellSpacing w:w="15" w:type="dxa"/>
      </w:trPr>
      <w:tc>
        <w:tcPr>
          <w:tcW w:w="1530" w:type="dxa"/>
          <w:tcMar>
            <w:top w:w="15" w:type="dxa"/>
            <w:left w:w="15" w:type="dxa"/>
            <w:bottom w:w="15" w:type="dxa"/>
            <w:right w:w="15" w:type="dxa"/>
          </w:tcMar>
          <w:vAlign w:val="center"/>
          <w:hideMark/>
        </w:tcPr>
        <w:p w14:paraId="438726D3" w14:textId="77777777" w:rsidR="00000000" w:rsidRDefault="001F082B">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2E9587A" w14:textId="77777777" w:rsidR="00000000" w:rsidRDefault="001F082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780D318F" w14:textId="77777777" w:rsidR="00000000" w:rsidRDefault="001F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158E" w14:textId="77777777" w:rsidR="00000000" w:rsidRDefault="001F082B">
      <w:r>
        <w:separator/>
      </w:r>
    </w:p>
  </w:footnote>
  <w:footnote w:type="continuationSeparator" w:id="0">
    <w:p w14:paraId="70475AB0" w14:textId="77777777" w:rsidR="00000000" w:rsidRDefault="001F0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F355BE0" w14:textId="77777777">
      <w:trPr>
        <w:tblCellSpacing w:w="15" w:type="dxa"/>
      </w:trPr>
      <w:tc>
        <w:tcPr>
          <w:tcW w:w="0" w:type="auto"/>
          <w:tcMar>
            <w:top w:w="15" w:type="dxa"/>
            <w:left w:w="15" w:type="dxa"/>
            <w:bottom w:w="15" w:type="dxa"/>
            <w:right w:w="15" w:type="dxa"/>
          </w:tcMar>
          <w:vAlign w:val="center"/>
          <w:hideMark/>
        </w:tcPr>
        <w:p w14:paraId="5331010F" w14:textId="77777777" w:rsidR="00000000" w:rsidRDefault="001F082B">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A028F04" w14:textId="77777777" w:rsidR="00000000" w:rsidRDefault="001F082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CLI.C.21690784</w:t>
          </w:r>
        </w:p>
      </w:tc>
    </w:tr>
  </w:tbl>
  <w:p w14:paraId="6D128EE4" w14:textId="77777777" w:rsidR="00000000" w:rsidRDefault="001F08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F082B"/>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B6F9F"/>
  <w15:chartTrackingRefBased/>
  <w15:docId w15:val="{F9AD53D1-26D6-4BF9-AD8E-9C97F075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1F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F082B"/>
    <w:rPr>
      <w:sz w:val="18"/>
      <w:szCs w:val="18"/>
    </w:rPr>
  </w:style>
  <w:style w:type="paragraph" w:styleId="a5">
    <w:name w:val="footer"/>
    <w:basedOn w:val="a"/>
    <w:link w:val="a6"/>
    <w:rsid w:val="001F082B"/>
    <w:pPr>
      <w:tabs>
        <w:tab w:val="center" w:pos="4153"/>
        <w:tab w:val="right" w:pos="8306"/>
      </w:tabs>
      <w:snapToGrid w:val="0"/>
    </w:pPr>
    <w:rPr>
      <w:sz w:val="18"/>
      <w:szCs w:val="18"/>
    </w:rPr>
  </w:style>
  <w:style w:type="character" w:customStyle="1" w:styleId="a6">
    <w:name w:val="页脚 字符"/>
    <w:basedOn w:val="a0"/>
    <w:link w:val="a5"/>
    <w:rsid w:val="001F0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s://www.pkulaw.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www.pkulaw.com/helps/6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net/"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yperlink" Target="https://www.pkulaw.com/pfnl/a25051f3312b07f3d783d681dd03b0b1ca6ed5078684ab07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