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142B45" w14:textId="77777777" w:rsidR="00000000" w:rsidRDefault="0088053E">
      <w:pPr>
        <w:pStyle w:val="fulltext-wraptitle"/>
        <w:spacing w:after="225"/>
        <w:ind w:left="375" w:right="375"/>
        <w:textAlignment w:val="baseline"/>
        <w:rPr>
          <w:rFonts w:ascii="Arial" w:eastAsia="Arial" w:hAnsi="Arial" w:cs="Arial"/>
          <w:b/>
          <w:bCs/>
          <w:lang w:val="en-US" w:eastAsia="zh-CN" w:bidi="ar-SA"/>
        </w:rPr>
      </w:pPr>
      <w:r>
        <w:rPr>
          <w:rFonts w:ascii="Arial" w:eastAsia="Arial" w:hAnsi="Arial" w:cs="Arial"/>
          <w:b/>
          <w:bCs/>
          <w:lang w:val="en-US" w:eastAsia="zh-CN" w:bidi="ar-SA"/>
        </w:rPr>
        <w:t>刘小伟与李学安、李诗菊民间借贷纠纷一审民事判决书</w:t>
      </w:r>
    </w:p>
    <w:p w14:paraId="14CC9876" w14:textId="77777777" w:rsidR="00000000" w:rsidRDefault="0088053E">
      <w:pPr>
        <w:ind w:left="375" w:right="375"/>
        <w:rPr>
          <w:rFonts w:ascii="Arial" w:eastAsia="Arial" w:hAnsi="Arial" w:cs="Arial"/>
          <w:lang w:val="en-US" w:eastAsia="zh-CN" w:bidi="ar-SA"/>
        </w:rPr>
      </w:pPr>
      <w:r>
        <w:rPr>
          <w:rFonts w:ascii="Arial" w:eastAsia="Arial" w:hAnsi="Arial" w:cs="Arial"/>
          <w:lang w:val="en-US" w:eastAsia="zh-CN" w:bidi="ar-SA"/>
        </w:rPr>
        <w:br/>
      </w:r>
    </w:p>
    <w:p w14:paraId="0801A8A8" w14:textId="77777777" w:rsidR="00000000" w:rsidRDefault="0088053E">
      <w:pPr>
        <w:pStyle w:val="p"/>
        <w:spacing w:line="600" w:lineRule="atLeast"/>
        <w:ind w:left="375" w:right="375"/>
        <w:jc w:val="center"/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</w:pP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刘小伟与李学安、李诗菊民间借贷纠纷一审民事判决书</w:t>
      </w:r>
    </w:p>
    <w:p w14:paraId="42AFFAF1" w14:textId="77777777" w:rsidR="00000000" w:rsidRDefault="0088053E">
      <w:pPr>
        <w:pStyle w:val="div"/>
        <w:spacing w:line="600" w:lineRule="atLeast"/>
        <w:ind w:left="375" w:right="375"/>
        <w:jc w:val="center"/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</w:pP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安徽省合肥市包河区人民法院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br/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民事判决书</w:t>
      </w:r>
    </w:p>
    <w:p w14:paraId="743AB515" w14:textId="77777777" w:rsidR="00000000" w:rsidRDefault="0088053E">
      <w:pPr>
        <w:pStyle w:val="div"/>
        <w:spacing w:line="600" w:lineRule="atLeast"/>
        <w:ind w:left="375" w:right="375"/>
        <w:jc w:val="right"/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</w:pPr>
      <w:r>
        <w:rPr>
          <w:rStyle w:val="span"/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(2018)</w:t>
      </w:r>
      <w:r>
        <w:rPr>
          <w:rStyle w:val="span"/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皖</w:t>
      </w:r>
      <w:r>
        <w:rPr>
          <w:rStyle w:val="span"/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0111</w:t>
      </w:r>
      <w:r>
        <w:rPr>
          <w:rStyle w:val="span"/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民初</w:t>
      </w:r>
      <w:r>
        <w:rPr>
          <w:rStyle w:val="span"/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4916</w:t>
      </w:r>
      <w:r>
        <w:rPr>
          <w:rStyle w:val="span"/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号</w:t>
      </w:r>
    </w:p>
    <w:p w14:paraId="0B41D60D" w14:textId="77777777" w:rsidR="00000000" w:rsidRDefault="0088053E">
      <w:pPr>
        <w:spacing w:line="600" w:lineRule="atLeast"/>
        <w:ind w:left="375" w:right="375"/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</w:pP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br/>
      </w:r>
      <w:r>
        <w:rPr>
          <w:rStyle w:val="span"/>
          <w:rFonts w:ascii="宋体" w:eastAsia="宋体" w:hAnsi="宋体" w:cs="宋体"/>
          <w:vanish/>
          <w:color w:val="000000"/>
          <w:sz w:val="27"/>
          <w:szCs w:val="27"/>
          <w:lang w:val="en-US" w:eastAsia="zh-CN" w:bidi="ar-SA"/>
        </w:rPr>
        <w:t>当事人</w:t>
      </w:r>
      <w:bookmarkStart w:id="0" w:name="anchor-0"/>
      <w:bookmarkEnd w:id="0"/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 xml:space="preserve">　　原告：刘小伟。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br/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 xml:space="preserve">　　委托诉讼代理人：张兴牛，安徽京师（合肥）律师事务所律师。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br/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 xml:space="preserve">　　委托诉讼代理人：代耀，</w:t>
      </w:r>
      <w:hyperlink r:id="rId7" w:history="1">
        <w:r>
          <w:rPr>
            <w:rStyle w:val="fulltext-wrapfulltexta"/>
            <w:rFonts w:ascii="宋体" w:eastAsia="宋体" w:hAnsi="宋体" w:cs="宋体"/>
            <w:sz w:val="27"/>
            <w:szCs w:val="27"/>
            <w:lang w:val="en-US" w:eastAsia="zh-CN" w:bidi="ar-SA"/>
          </w:rPr>
          <w:t>安徽百商律师事务所</w:t>
        </w:r>
      </w:hyperlink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实习律师。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br/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 xml:space="preserve">　　被告：李学安。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br/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 xml:space="preserve">　　被告：李诗菊。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br/>
      </w:r>
      <w:r>
        <w:rPr>
          <w:rStyle w:val="span"/>
          <w:rFonts w:ascii="宋体" w:eastAsia="宋体" w:hAnsi="宋体" w:cs="宋体"/>
          <w:vanish/>
          <w:color w:val="000000"/>
          <w:sz w:val="27"/>
          <w:szCs w:val="27"/>
          <w:lang w:val="en-US" w:eastAsia="zh-CN" w:bidi="ar-SA"/>
        </w:rPr>
        <w:t>审理经过</w:t>
      </w:r>
      <w:bookmarkStart w:id="1" w:name="anchor-1"/>
      <w:bookmarkEnd w:id="1"/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 xml:space="preserve">　　原告刘小伟诉被告李学安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、李诗菊民间借贷纠纷一案，本院受理后，依法组成合议庭公开开庭进行了审理。原告刘小伟的委托诉讼代理人张兴牛、代耀到庭参加诉讼。被告李学安、李诗菊经本院传票传唤未到庭参加诉讼。本案现已审理终结。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br/>
      </w:r>
      <w:r>
        <w:rPr>
          <w:rStyle w:val="span"/>
          <w:rFonts w:ascii="宋体" w:eastAsia="宋体" w:hAnsi="宋体" w:cs="宋体"/>
          <w:vanish/>
          <w:color w:val="000000"/>
          <w:sz w:val="27"/>
          <w:szCs w:val="27"/>
          <w:lang w:val="en-US" w:eastAsia="zh-CN" w:bidi="ar-SA"/>
        </w:rPr>
        <w:t>原告诉称</w:t>
      </w:r>
      <w:bookmarkStart w:id="2" w:name="anchor-3"/>
      <w:bookmarkEnd w:id="2"/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 xml:space="preserve">　　原告刘小伟向本院提出诉讼请求：一、判令两被告支付原告借款本金共计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35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万元；二、判令两被告承担本案诉讼费。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br/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 xml:space="preserve">　　事实与理由：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2013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年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4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月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7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日，原被告签订借款合同，约定由原告出借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60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万元人民币给被告，借款期限自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2013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年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4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月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7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日至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2013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年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8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月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6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日。合同签订前后，原告以现金或者委托他人转账给被告的方式，共计给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付款额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35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万元。借款合同到期，原告多次口头要求被告偿还借款和利息，被告以各种借口推脱，拒不履行。为维护原告合法权益，特依据《</w:t>
      </w:r>
      <w:hyperlink r:id="rId8" w:history="1">
        <w:r>
          <w:rPr>
            <w:rStyle w:val="fulltext-wrapfulltexta"/>
            <w:rFonts w:ascii="宋体" w:eastAsia="宋体" w:hAnsi="宋体" w:cs="宋体"/>
            <w:sz w:val="27"/>
            <w:szCs w:val="27"/>
            <w:lang w:val="en-US" w:eastAsia="zh-CN" w:bidi="ar-SA"/>
          </w:rPr>
          <w:t>民事诉讼法</w:t>
        </w:r>
      </w:hyperlink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》的相关规定诉至贵院，请贵院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lastRenderedPageBreak/>
        <w:t>判如所请。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br/>
      </w:r>
      <w:r>
        <w:rPr>
          <w:rStyle w:val="span"/>
          <w:rFonts w:ascii="宋体" w:eastAsia="宋体" w:hAnsi="宋体" w:cs="宋体"/>
          <w:vanish/>
          <w:color w:val="000000"/>
          <w:sz w:val="27"/>
          <w:szCs w:val="27"/>
          <w:lang w:val="en-US" w:eastAsia="zh-CN" w:bidi="ar-SA"/>
        </w:rPr>
        <w:t>被告辩称</w:t>
      </w:r>
      <w:bookmarkStart w:id="3" w:name="anchor-4"/>
      <w:bookmarkEnd w:id="3"/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 xml:space="preserve">　　被告李学安、李诗菊在答辩期内未提交答辩状，亦未在举证期限内提交证据。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br/>
      </w:r>
      <w:r>
        <w:rPr>
          <w:rStyle w:val="span"/>
          <w:rFonts w:ascii="宋体" w:eastAsia="宋体" w:hAnsi="宋体" w:cs="宋体"/>
          <w:vanish/>
          <w:color w:val="000000"/>
          <w:sz w:val="27"/>
          <w:szCs w:val="27"/>
          <w:lang w:val="en-US" w:eastAsia="zh-CN" w:bidi="ar-SA"/>
        </w:rPr>
        <w:t>本院查明</w:t>
      </w:r>
      <w:bookmarkStart w:id="4" w:name="anchor-5"/>
      <w:bookmarkEnd w:id="4"/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 xml:space="preserve">　　经审理，本院查明事实如下：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br/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 xml:space="preserve">　　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2013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年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4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月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7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日，原告刘小伟（甲方）与被告李学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安、李诗菊（乙方）签订了一份《借款合同》（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NO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：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20130407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号），双方约定：甲方刘小伟借款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60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万元给乙方李学安、李诗菊，利率按年息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7.8%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计算，预扣息三个月，借款期限自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2013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年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4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月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7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日起至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2013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年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8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月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6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日止（如甲方提出安景源公司提前偿还贷款，乙方应确保上述款项按提前还贷时间按期还贷，利息按转款时间结算）；乙方保证在本合同规定的借款期限内按期主动偿还上述借款，若不能按时一次性全额支付上述借款，乙方承诺自逾期当日起按借款金额千分之二的日利率计付罚息；此外双方还对违约责任等进行了约定。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2013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年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4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月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7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日，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被告李学安、李诗菊还向原告刘小伟出具了一份借据与一份收条，借据载明：今借到刘小伟人民币陆拾万元，期限四月即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2013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年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4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月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7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日起至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2013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年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8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月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6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日，具体利率、违约金的支付等详见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2013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年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4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月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7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日双方签订的《借款合同》（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NO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：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20130407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号）。收条载明：今收到刘小伟人民币陆拾挖万元整。李学安、李诗菊在上述借款合同、借据、收条中签字摁手印。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2013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年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4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月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8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日，李学安在收条中注明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“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付现金叁万元整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"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。另，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2013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年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4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月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7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日，李学安、李诗菊还出具了一份转款委托，在转款委托中载明委托受托人刘小伟将借款人民币陆拾万元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整转至李学安的银行账户中，开户行为安徽省农村信用社霍邱县宋店信用社，账号为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62×××30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。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br/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 xml:space="preserve">　　另查明：刘小伟委托赵玉海于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2012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年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9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月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19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日向李学安银行账户中转款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5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万元；刘小伟委托秦云于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2012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年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10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月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11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日向李学安银行账户中转款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5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万元；刘小伟委托石李昌于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2012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年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10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月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29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日向李学安银行账户中转款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5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万元，用途中载明系借款；刘小伟委托秦云于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2013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年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4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月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10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日向李诗菊银行账户中转款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6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万元；刘小伟委托常永桂于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2013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年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4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月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19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日向李诗菊银行账户中转款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5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万元；刘小伟委托秦云于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2013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年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4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月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24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日向李学安银行账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户中转款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2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万元；刘小伟委托赵玉海于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2013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年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4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月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26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日向李学安银行账户中转款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4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万元；上述转至李学安、李诗菊银行账户中的款项共计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32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万元。审理中，原告表示：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2012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年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10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月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29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日其委托石李昌转给李学安的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5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万元、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2012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年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9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月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19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日其委托赵玉海转给李学安的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5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万元及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2012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年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10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月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11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日其委托秦云转给李学安的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5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万元，两被告没有向其出具借款凭证，上述三笔借款包含在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2013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年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4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月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7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日的借款合同中。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br/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 xml:space="preserve">　　上述事实，除原告当庭陈述外，还有借款合同、借据、收条、转款委托、转账电子回单等证据佐证，符合法定的客观性、合法性和关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联性要求，可以作为定案依据。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br/>
      </w:r>
      <w:r>
        <w:rPr>
          <w:rStyle w:val="span"/>
          <w:rFonts w:ascii="宋体" w:eastAsia="宋体" w:hAnsi="宋体" w:cs="宋体"/>
          <w:vanish/>
          <w:color w:val="000000"/>
          <w:sz w:val="27"/>
          <w:szCs w:val="27"/>
          <w:lang w:val="en-US" w:eastAsia="zh-CN" w:bidi="ar-SA"/>
        </w:rPr>
        <w:t>本院认为</w:t>
      </w:r>
      <w:bookmarkStart w:id="5" w:name="anchor-6"/>
      <w:bookmarkEnd w:id="5"/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 xml:space="preserve">　　本院认为：合法的借贷关系受法律保护。本案中，原告刘小伟主张被告李学安、李诗菊向其借款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35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万元，并提供了借款合同、借据、收条、转账电子回单等证据予以证明，本院向李学安、李诗菊季伟送达诉状副本、开庭传票、证据等应诉材料后，被告李学安、李诗菊未作答辩，亦未到庭参加诉讼，视为对其抗辩权利的放弃，故本院对原告主张的借款事实予以采信。根据法律规定，借款人应当按照约定的期限返还借款。根据原告提交的借据及借款合同，双方约定的借款期限已经届满，现原告主张被告归还借款具有事实和法律依据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，故本院予以支持。据此，依照</w:t>
      </w:r>
      <w:bookmarkStart w:id="6" w:name="anchor-9"/>
      <w:bookmarkEnd w:id="6"/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《</w:t>
      </w:r>
      <w:hyperlink r:id="rId9" w:history="1">
        <w:r>
          <w:rPr>
            <w:rStyle w:val="fulltext-wrapfulltexta"/>
            <w:rFonts w:ascii="宋体" w:eastAsia="宋体" w:hAnsi="宋体" w:cs="宋体"/>
            <w:sz w:val="27"/>
            <w:szCs w:val="27"/>
            <w:lang w:val="en-US" w:eastAsia="zh-CN" w:bidi="ar-SA"/>
          </w:rPr>
          <w:t>中华人民共和国合同法</w:t>
        </w:r>
      </w:hyperlink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》第</w:t>
      </w:r>
      <w:hyperlink r:id="rId10" w:anchor="tiao_206" w:history="1">
        <w:r>
          <w:rPr>
            <w:rStyle w:val="fulltext-wrapfulltexta"/>
            <w:rFonts w:ascii="宋体" w:eastAsia="宋体" w:hAnsi="宋体" w:cs="宋体"/>
            <w:sz w:val="27"/>
            <w:szCs w:val="27"/>
            <w:lang w:val="en-US" w:eastAsia="zh-CN" w:bidi="ar-SA"/>
          </w:rPr>
          <w:t>二百零六条</w:t>
        </w:r>
      </w:hyperlink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及《</w:t>
      </w:r>
      <w:hyperlink r:id="rId11" w:history="1">
        <w:r>
          <w:rPr>
            <w:rStyle w:val="fulltext-wrapfulltexta"/>
            <w:rFonts w:ascii="宋体" w:eastAsia="宋体" w:hAnsi="宋体" w:cs="宋体"/>
            <w:sz w:val="27"/>
            <w:szCs w:val="27"/>
            <w:lang w:val="en-US" w:eastAsia="zh-CN" w:bidi="ar-SA"/>
          </w:rPr>
          <w:t>中华人民共和国民事诉讼法</w:t>
        </w:r>
      </w:hyperlink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》第</w:t>
      </w:r>
      <w:hyperlink r:id="rId12" w:anchor="tiao_144" w:history="1">
        <w:r>
          <w:rPr>
            <w:rStyle w:val="fulltext-wrapfulltexta"/>
            <w:rFonts w:ascii="宋体" w:eastAsia="宋体" w:hAnsi="宋体" w:cs="宋体"/>
            <w:sz w:val="27"/>
            <w:szCs w:val="27"/>
            <w:lang w:val="en-US" w:eastAsia="zh-CN" w:bidi="ar-SA"/>
          </w:rPr>
          <w:t>一百四十四条</w:t>
        </w:r>
      </w:hyperlink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之规定，判决如下：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br/>
      </w:r>
      <w:r>
        <w:rPr>
          <w:rStyle w:val="span"/>
          <w:rFonts w:ascii="宋体" w:eastAsia="宋体" w:hAnsi="宋体" w:cs="宋体"/>
          <w:vanish/>
          <w:color w:val="000000"/>
          <w:sz w:val="27"/>
          <w:szCs w:val="27"/>
          <w:lang w:val="en-US" w:eastAsia="zh-CN" w:bidi="ar-SA"/>
        </w:rPr>
        <w:t>裁判结果</w:t>
      </w:r>
      <w:bookmarkStart w:id="7" w:name="anchor-2"/>
      <w:bookmarkEnd w:id="7"/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 xml:space="preserve">　　被告李学安、李诗菊于本判决生效之日起十日内支付原告刘小伟借款本金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35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万元。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br/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 xml:space="preserve">　　被告如果未按本判决指定的期间履行给付金钱义务，应当依照《</w:t>
      </w:r>
      <w:hyperlink r:id="rId13" w:history="1">
        <w:r>
          <w:rPr>
            <w:rStyle w:val="fulltext-wrapfulltexta"/>
            <w:rFonts w:ascii="宋体" w:eastAsia="宋体" w:hAnsi="宋体" w:cs="宋体"/>
            <w:sz w:val="27"/>
            <w:szCs w:val="27"/>
            <w:lang w:val="en-US" w:eastAsia="zh-CN" w:bidi="ar-SA"/>
          </w:rPr>
          <w:t>中华人民共和国民事诉讼法</w:t>
        </w:r>
      </w:hyperlink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》第</w:t>
      </w:r>
      <w:hyperlink r:id="rId14" w:anchor="tiao_253" w:history="1">
        <w:r>
          <w:rPr>
            <w:rStyle w:val="fulltext-wrapfulltexta"/>
            <w:rFonts w:ascii="宋体" w:eastAsia="宋体" w:hAnsi="宋体" w:cs="宋体"/>
            <w:sz w:val="27"/>
            <w:szCs w:val="27"/>
            <w:lang w:val="en-US" w:eastAsia="zh-CN" w:bidi="ar-SA"/>
          </w:rPr>
          <w:t>二百五十三条</w:t>
        </w:r>
      </w:hyperlink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之规定，加倍支付迟延履行期间的债务利息。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br/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 xml:space="preserve">　　案件受理费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6550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元，公告费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800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元，合计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7350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元，由被告李学安、李诗菊负担。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br/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 xml:space="preserve">　　如不服本判决，可在判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决书送达之日起十五日内，向本院递交上诉状，并按对方当事人的人数提出副本，上诉于安徽省合肥市中级人民法院。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br/>
      </w:r>
      <w:r>
        <w:rPr>
          <w:rStyle w:val="span"/>
          <w:rFonts w:ascii="宋体" w:eastAsia="宋体" w:hAnsi="宋体" w:cs="宋体"/>
          <w:vanish/>
          <w:color w:val="000000"/>
          <w:sz w:val="27"/>
          <w:szCs w:val="27"/>
          <w:lang w:val="en-US" w:eastAsia="zh-CN" w:bidi="ar-SA"/>
        </w:rPr>
        <w:t>落款</w:t>
      </w:r>
      <w:bookmarkStart w:id="8" w:name="anchor-7"/>
      <w:bookmarkEnd w:id="8"/>
    </w:p>
    <w:p w14:paraId="77BD6817" w14:textId="77777777" w:rsidR="00000000" w:rsidRDefault="0088053E">
      <w:pPr>
        <w:pStyle w:val="div"/>
        <w:spacing w:line="600" w:lineRule="atLeast"/>
        <w:ind w:left="375" w:right="375"/>
        <w:jc w:val="right"/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</w:pP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br/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审　判　长　　程大光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br/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人民陪审员　　周　焰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br/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人民陪审员　　杨曙东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br/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二〇一九年三月一日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br/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书　记　员　　徐佳佳</w:t>
      </w:r>
    </w:p>
    <w:p w14:paraId="384F437A" w14:textId="77777777" w:rsidR="00000000" w:rsidRDefault="0088053E">
      <w:pPr>
        <w:spacing w:after="300" w:line="600" w:lineRule="atLeast"/>
        <w:ind w:left="375" w:right="375"/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</w:pP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br/>
      </w:r>
      <w:r>
        <w:rPr>
          <w:rStyle w:val="span"/>
          <w:rFonts w:ascii="宋体" w:eastAsia="宋体" w:hAnsi="宋体" w:cs="宋体"/>
          <w:vanish/>
          <w:color w:val="000000"/>
          <w:sz w:val="27"/>
          <w:szCs w:val="27"/>
          <w:lang w:val="en-US" w:eastAsia="zh-CN" w:bidi="ar-SA"/>
        </w:rPr>
        <w:t>附法律依据</w:t>
      </w:r>
      <w:bookmarkStart w:id="9" w:name="anchor-8"/>
      <w:bookmarkEnd w:id="9"/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附：本案适用的法律条文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br/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《</w:t>
      </w:r>
      <w:hyperlink r:id="rId15" w:history="1">
        <w:r>
          <w:rPr>
            <w:rStyle w:val="fulltext-wrapfulltexta"/>
            <w:rFonts w:ascii="宋体" w:eastAsia="宋体" w:hAnsi="宋体" w:cs="宋体"/>
            <w:sz w:val="27"/>
            <w:szCs w:val="27"/>
            <w:lang w:val="en-US" w:eastAsia="zh-CN" w:bidi="ar-SA"/>
          </w:rPr>
          <w:t>中华人民共和国合同法</w:t>
        </w:r>
      </w:hyperlink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》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br/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第二百零六条借款人应当按照约定的期限返还借款。对借款期限没有约定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或者约定不明确，依照本法第六十一条的规定仍不能确定的，借款人可以随时返还；贷款人可以催告借款人在合理期限内返还。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br/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《</w:t>
      </w:r>
      <w:hyperlink r:id="rId16" w:history="1">
        <w:r>
          <w:rPr>
            <w:rStyle w:val="fulltext-wrapfulltexta"/>
            <w:rFonts w:ascii="宋体" w:eastAsia="宋体" w:hAnsi="宋体" w:cs="宋体"/>
            <w:sz w:val="27"/>
            <w:szCs w:val="27"/>
            <w:lang w:val="en-US" w:eastAsia="zh-CN" w:bidi="ar-SA"/>
          </w:rPr>
          <w:t>中华人民共和国民事诉讼法</w:t>
        </w:r>
      </w:hyperlink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》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br/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第一百四十四条被告经传票传唤，无正当理由拒不到庭的，或者未经法庭许可中途退庭的，可以缺席判决。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 xml:space="preserve"> </w:t>
      </w:r>
    </w:p>
    <w:p w14:paraId="53DC6261" w14:textId="77777777" w:rsidR="00000000" w:rsidRDefault="0088053E">
      <w:pPr>
        <w:ind w:left="375" w:right="375"/>
        <w:rPr>
          <w:rFonts w:ascii="Arial" w:eastAsia="Arial" w:hAnsi="Arial" w:cs="Arial"/>
          <w:lang w:val="en-US" w:eastAsia="zh-CN" w:bidi="ar-SA"/>
        </w:rPr>
      </w:pPr>
      <w:r>
        <w:rPr>
          <w:rFonts w:ascii="Arial" w:eastAsia="Arial" w:hAnsi="Arial" w:cs="Arial"/>
          <w:lang w:val="en-US" w:eastAsia="zh-CN" w:bidi="ar-SA"/>
        </w:rPr>
        <w:br/>
      </w:r>
    </w:p>
    <w:p w14:paraId="48B712E2" w14:textId="77777777" w:rsidR="00000000" w:rsidRDefault="00A77B3E">
      <w:pPr>
        <w:spacing w:line="630" w:lineRule="atLeast"/>
        <w:rPr>
          <w:rFonts w:eastAsia="Times New Roman"/>
          <w:sz w:val="26"/>
          <w:szCs w:val="26"/>
          <w:lang w:val="en-US" w:eastAsia="zh-CN" w:bidi="ar-SA"/>
        </w:rPr>
      </w:pPr>
      <w:r>
        <w:br w:type="page"/>
      </w:r>
      <w:r w:rsidR="0088053E">
        <w:rPr>
          <w:rFonts w:eastAsia="Times New Roman"/>
          <w:sz w:val="26"/>
          <w:szCs w:val="26"/>
          <w:lang w:val="en-US" w:eastAsia="zh-CN" w:bidi="ar-SA"/>
        </w:rPr>
        <w:t>©北大法宝：（</w:t>
      </w:r>
      <w:hyperlink r:id="rId17" w:history="1">
        <w:r w:rsidR="0088053E">
          <w:rPr>
            <w:rFonts w:eastAsia="Times New Roman"/>
            <w:color w:val="218FC4"/>
            <w:sz w:val="26"/>
            <w:szCs w:val="26"/>
            <w:u w:val="single" w:color="218FC4"/>
            <w:lang w:val="en-US" w:eastAsia="zh-CN" w:bidi="ar-SA"/>
          </w:rPr>
          <w:t>www.</w:t>
        </w:r>
        <w:r w:rsidR="0088053E">
          <w:rPr>
            <w:rFonts w:eastAsia="Times New Roman"/>
            <w:color w:val="218FC4"/>
            <w:sz w:val="26"/>
            <w:szCs w:val="26"/>
            <w:u w:val="single" w:color="218FC4"/>
            <w:lang w:val="en-US" w:eastAsia="zh-CN" w:bidi="ar-SA"/>
          </w:rPr>
          <w:t>pkulaw.com</w:t>
        </w:r>
      </w:hyperlink>
      <w:r w:rsidR="0088053E">
        <w:rPr>
          <w:rFonts w:eastAsia="Times New Roman"/>
          <w:sz w:val="26"/>
          <w:szCs w:val="26"/>
          <w:lang w:val="en-US" w:eastAsia="zh-CN" w:bidi="ar-SA"/>
        </w:rPr>
        <w:t>）专业提供法律信息、法学知识和法律软件领域各类解决方案。北大法宝为您提供丰富的参考资料，正式引用法规条文时请与标准文本核对。 欢迎查看所有</w:t>
      </w:r>
      <w:hyperlink r:id="rId18" w:tgtFrame="_blank" w:history="1">
        <w:r w:rsidR="0088053E">
          <w:rPr>
            <w:rFonts w:eastAsia="Times New Roman"/>
            <w:color w:val="218FC4"/>
            <w:sz w:val="26"/>
            <w:szCs w:val="26"/>
            <w:u w:val="single" w:color="218FC4"/>
            <w:lang w:val="en-US" w:eastAsia="zh-CN" w:bidi="ar-SA"/>
          </w:rPr>
          <w:t>产品和服务</w:t>
        </w:r>
      </w:hyperlink>
      <w:r w:rsidR="0088053E">
        <w:rPr>
          <w:rFonts w:eastAsia="Times New Roman"/>
          <w:sz w:val="26"/>
          <w:szCs w:val="26"/>
          <w:lang w:val="en-US" w:eastAsia="zh-CN" w:bidi="ar-SA"/>
        </w:rPr>
        <w:t>。</w:t>
      </w:r>
      <w:r w:rsidR="0088053E">
        <w:rPr>
          <w:rFonts w:eastAsia="Times New Roman"/>
          <w:sz w:val="26"/>
          <w:szCs w:val="26"/>
          <w:lang w:val="en-US" w:eastAsia="zh-CN" w:bidi="ar-SA"/>
        </w:rPr>
        <w:br/>
      </w:r>
      <w:hyperlink r:id="rId19" w:tgtFrame="_blank" w:history="1">
        <w:r w:rsidR="0088053E">
          <w:rPr>
            <w:rFonts w:eastAsia="Times New Roman"/>
            <w:color w:val="218FC4"/>
            <w:sz w:val="26"/>
            <w:szCs w:val="26"/>
            <w:u w:val="single" w:color="218FC4"/>
            <w:lang w:val="en-US" w:eastAsia="zh-CN" w:bidi="ar-SA"/>
          </w:rPr>
          <w:t>法宝快讯： 如何快速找到您需要的检索结果？ 法宝 V6 有何新特色？</w:t>
        </w:r>
      </w:hyperlink>
    </w:p>
    <w:p w14:paraId="325C344E" w14:textId="77777777" w:rsidR="00000000" w:rsidRDefault="0088053E">
      <w:pPr>
        <w:spacing w:before="900"/>
        <w:ind w:left="900" w:right="900"/>
        <w:jc w:val="center"/>
        <w:rPr>
          <w:rFonts w:eastAsia="Times New Roman"/>
          <w:lang w:val="en-US" w:eastAsia="zh-CN" w:bidi="ar-SA"/>
        </w:rPr>
      </w:pPr>
      <w:r>
        <w:rPr>
          <w:rFonts w:eastAsia="Times New Roman"/>
          <w:lang w:val="en-US" w:eastAsia="zh-CN" w:bidi="ar-S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2pt;height:192pt;mso-position-horizontal-relative:text;mso-position-vertical-relative:text">
            <v:imagedata r:id="rId20" o:title=""/>
          </v:shape>
        </w:pict>
      </w:r>
    </w:p>
    <w:p w14:paraId="164F63C3" w14:textId="77777777" w:rsidR="00000000" w:rsidRDefault="0088053E">
      <w:pPr>
        <w:spacing w:after="900" w:line="630" w:lineRule="atLeast"/>
        <w:ind w:left="900" w:right="900"/>
        <w:jc w:val="center"/>
        <w:rPr>
          <w:rFonts w:eastAsia="Times New Roman"/>
          <w:sz w:val="26"/>
          <w:szCs w:val="26"/>
          <w:lang w:val="en-US" w:eastAsia="zh-CN" w:bidi="ar-SA"/>
        </w:rPr>
      </w:pPr>
      <w:r>
        <w:rPr>
          <w:rFonts w:eastAsia="Times New Roman"/>
          <w:sz w:val="26"/>
          <w:szCs w:val="26"/>
          <w:lang w:val="en-US" w:eastAsia="zh-CN" w:bidi="ar-SA"/>
        </w:rPr>
        <w:t xml:space="preserve">扫描二维码阅读原文 </w:t>
      </w:r>
    </w:p>
    <w:p w14:paraId="7EB2F7FE" w14:textId="77777777" w:rsidR="00000000" w:rsidRDefault="0088053E">
      <w:pPr>
        <w:spacing w:line="630" w:lineRule="atLeast"/>
        <w:jc w:val="center"/>
        <w:rPr>
          <w:rFonts w:eastAsia="Times New Roman"/>
          <w:sz w:val="26"/>
          <w:szCs w:val="26"/>
          <w:lang w:val="en-US" w:eastAsia="zh-CN" w:bidi="ar-SA"/>
        </w:rPr>
      </w:pPr>
      <w:r>
        <w:rPr>
          <w:rFonts w:eastAsia="Times New Roman"/>
          <w:sz w:val="26"/>
          <w:szCs w:val="26"/>
          <w:lang w:val="en-US" w:eastAsia="zh-CN" w:bidi="ar-SA"/>
        </w:rPr>
        <w:t>原文链接</w:t>
      </w:r>
      <w:r>
        <w:rPr>
          <w:rFonts w:eastAsia="Times New Roman"/>
          <w:sz w:val="26"/>
          <w:szCs w:val="26"/>
          <w:lang w:val="en-US" w:eastAsia="zh-CN" w:bidi="ar-SA"/>
        </w:rPr>
        <w:t>：</w:t>
      </w:r>
      <w:hyperlink r:id="rId21" w:tgtFrame="_blank" w:history="1">
        <w:r>
          <w:rPr>
            <w:rFonts w:eastAsia="Times New Roman"/>
            <w:color w:val="000000"/>
            <w:sz w:val="26"/>
            <w:szCs w:val="26"/>
            <w:u w:val="single" w:color="000000"/>
            <w:lang w:val="en-US" w:eastAsia="zh-CN" w:bidi="ar-SA"/>
          </w:rPr>
          <w:t xml:space="preserve">https://www.pkulaw.com/pfnl/a6bdb3332ec0adc42f082ba44beb74bd3e189f66e35458cebdfb.html </w:t>
        </w:r>
      </w:hyperlink>
    </w:p>
    <w:p w14:paraId="32E0C868" w14:textId="77777777" w:rsidR="00A77B3E" w:rsidRDefault="00A77B3E"/>
    <w:sectPr w:rsidR="00A77B3E">
      <w:headerReference w:type="default" r:id="rId22"/>
      <w:footerReference w:type="default" r:id="rId23"/>
      <w:pgSz w:w="11906" w:h="16838"/>
      <w:pgMar w:top="1440" w:right="720" w:bottom="144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3FB84F" w14:textId="77777777" w:rsidR="00000000" w:rsidRDefault="0088053E">
      <w:r>
        <w:separator/>
      </w:r>
    </w:p>
  </w:endnote>
  <w:endnote w:type="continuationSeparator" w:id="0">
    <w:p w14:paraId="2A14019D" w14:textId="77777777" w:rsidR="00000000" w:rsidRDefault="008805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Spacing w:w="15" w:type="dxa"/>
      <w:tblInd w:w="15" w:type="dxa"/>
      <w:tblCellMar>
        <w:top w:w="15" w:type="dxa"/>
        <w:left w:w="15" w:type="dxa"/>
        <w:bottom w:w="15" w:type="dxa"/>
        <w:right w:w="15" w:type="dxa"/>
      </w:tblCellMar>
      <w:tblLook w:val="04A0" w:firstRow="1" w:lastRow="0" w:firstColumn="1" w:lastColumn="0" w:noHBand="0" w:noVBand="1"/>
    </w:tblPr>
    <w:tblGrid>
      <w:gridCol w:w="1575"/>
      <w:gridCol w:w="8981"/>
    </w:tblGrid>
    <w:tr w:rsidR="00000000" w14:paraId="7FFBDFB0" w14:textId="77777777">
      <w:trPr>
        <w:tblCellSpacing w:w="15" w:type="dxa"/>
      </w:trPr>
      <w:tc>
        <w:tcPr>
          <w:tcW w:w="1530" w:type="dxa"/>
          <w:tcMar>
            <w:top w:w="15" w:type="dxa"/>
            <w:left w:w="15" w:type="dxa"/>
            <w:bottom w:w="15" w:type="dxa"/>
            <w:right w:w="15" w:type="dxa"/>
          </w:tcMar>
          <w:vAlign w:val="center"/>
          <w:hideMark/>
        </w:tcPr>
        <w:p w14:paraId="46A7D395" w14:textId="77777777" w:rsidR="00000000" w:rsidRDefault="0088053E">
          <w:pPr>
            <w:rPr>
              <w:rFonts w:eastAsia="Times New Roman"/>
              <w:color w:val="000000"/>
              <w:sz w:val="23"/>
              <w:szCs w:val="23"/>
              <w:lang w:val="en-US" w:eastAsia="zh-CN" w:bidi="ar-SA"/>
            </w:rPr>
          </w:pPr>
          <w:r>
            <w:rPr>
              <w:rFonts w:eastAsia="Times New Roman"/>
              <w:color w:val="000000"/>
              <w:sz w:val="23"/>
              <w:szCs w:val="23"/>
              <w:lang w:val="en-US" w:eastAsia="zh-CN" w:bidi="ar-SA"/>
            </w:rPr>
            <w:fldChar w:fldCharType="begin"/>
          </w:r>
          <w:r>
            <w:rPr>
              <w:rFonts w:eastAsia="Times New Roman"/>
              <w:color w:val="000000"/>
              <w:sz w:val="23"/>
              <w:szCs w:val="23"/>
              <w:lang w:val="en-US" w:eastAsia="zh-CN" w:bidi="ar-SA"/>
            </w:rPr>
            <w:instrText xml:space="preserve"> PAGE  </w:instrText>
          </w:r>
          <w:r>
            <w:rPr>
              <w:rFonts w:eastAsia="Times New Roman"/>
              <w:color w:val="000000"/>
              <w:sz w:val="23"/>
              <w:szCs w:val="23"/>
              <w:lang w:val="en-US" w:eastAsia="zh-CN" w:bidi="ar-SA"/>
            </w:rPr>
            <w:fldChar w:fldCharType="separate"/>
          </w:r>
          <w:r>
            <w:rPr>
              <w:rFonts w:eastAsia="Times New Roman"/>
              <w:noProof/>
              <w:color w:val="000000"/>
              <w:sz w:val="23"/>
              <w:szCs w:val="23"/>
              <w:lang w:val="en-US" w:eastAsia="zh-CN" w:bidi="ar-SA"/>
            </w:rPr>
            <w:t>1</w:t>
          </w:r>
          <w:r>
            <w:rPr>
              <w:rFonts w:eastAsia="Times New Roman"/>
              <w:color w:val="000000"/>
              <w:sz w:val="23"/>
              <w:szCs w:val="23"/>
              <w:lang w:val="en-US" w:eastAsia="zh-CN" w:bidi="ar-SA"/>
            </w:rPr>
            <w:fldChar w:fldCharType="end"/>
          </w:r>
          <w:r>
            <w:rPr>
              <w:rFonts w:eastAsia="Times New Roman"/>
              <w:color w:val="000000"/>
              <w:sz w:val="23"/>
              <w:szCs w:val="23"/>
              <w:lang w:val="en-US" w:eastAsia="zh-CN" w:bidi="ar-SA"/>
            </w:rPr>
            <w:t>/</w:t>
          </w:r>
          <w:r>
            <w:rPr>
              <w:rFonts w:eastAsia="Times New Roman"/>
              <w:color w:val="000000"/>
              <w:sz w:val="23"/>
              <w:szCs w:val="23"/>
              <w:lang w:val="en-US" w:eastAsia="zh-CN" w:bidi="ar-SA"/>
            </w:rPr>
            <w:fldChar w:fldCharType="begin"/>
          </w:r>
          <w:r>
            <w:rPr>
              <w:rFonts w:eastAsia="Times New Roman"/>
              <w:color w:val="000000"/>
              <w:sz w:val="23"/>
              <w:szCs w:val="23"/>
              <w:lang w:val="en-US" w:eastAsia="zh-CN" w:bidi="ar-SA"/>
            </w:rPr>
            <w:instrText xml:space="preserve"> NUMPAGES</w:instrText>
          </w:r>
          <w:r>
            <w:rPr>
              <w:rFonts w:eastAsia="Times New Roman"/>
              <w:color w:val="000000"/>
              <w:sz w:val="23"/>
              <w:szCs w:val="23"/>
              <w:lang w:val="en-US" w:eastAsia="zh-CN" w:bidi="ar-SA"/>
            </w:rPr>
            <w:instrText xml:space="preserve">  </w:instrText>
          </w:r>
          <w:r>
            <w:rPr>
              <w:rFonts w:eastAsia="Times New Roman"/>
              <w:color w:val="000000"/>
              <w:sz w:val="23"/>
              <w:szCs w:val="23"/>
              <w:lang w:val="en-US" w:eastAsia="zh-CN" w:bidi="ar-SA"/>
            </w:rPr>
            <w:fldChar w:fldCharType="separate"/>
          </w:r>
          <w:r>
            <w:rPr>
              <w:rFonts w:eastAsia="Times New Roman"/>
              <w:noProof/>
              <w:color w:val="000000"/>
              <w:sz w:val="23"/>
              <w:szCs w:val="23"/>
              <w:lang w:val="en-US" w:eastAsia="zh-CN" w:bidi="ar-SA"/>
            </w:rPr>
            <w:t>2</w:t>
          </w:r>
          <w:r>
            <w:rPr>
              <w:rFonts w:eastAsia="Times New Roman"/>
              <w:color w:val="000000"/>
              <w:sz w:val="23"/>
              <w:szCs w:val="23"/>
              <w:lang w:val="en-US" w:eastAsia="zh-CN" w:bidi="ar-SA"/>
            </w:rPr>
            <w:fldChar w:fldCharType="end"/>
          </w:r>
        </w:p>
      </w:tc>
      <w:tc>
        <w:tcPr>
          <w:tcW w:w="0" w:type="auto"/>
          <w:tcMar>
            <w:top w:w="15" w:type="dxa"/>
            <w:left w:w="15" w:type="dxa"/>
            <w:bottom w:w="15" w:type="dxa"/>
            <w:right w:w="15" w:type="dxa"/>
          </w:tcMar>
          <w:vAlign w:val="center"/>
          <w:hideMark/>
        </w:tcPr>
        <w:p w14:paraId="2F6CE78D" w14:textId="77777777" w:rsidR="00000000" w:rsidRDefault="0088053E">
          <w:pPr>
            <w:jc w:val="right"/>
            <w:rPr>
              <w:rFonts w:ascii="宋体" w:eastAsia="宋体" w:hAnsi="宋体" w:cs="宋体"/>
              <w:color w:val="000000"/>
              <w:sz w:val="23"/>
              <w:szCs w:val="23"/>
              <w:lang w:val="en-US" w:eastAsia="zh-CN" w:bidi="ar-SA"/>
            </w:rPr>
          </w:pPr>
          <w:r>
            <w:rPr>
              <w:rFonts w:ascii="宋体" w:eastAsia="宋体" w:hAnsi="宋体" w:cs="宋体"/>
              <w:color w:val="000000"/>
              <w:sz w:val="23"/>
              <w:szCs w:val="23"/>
              <w:lang w:val="en-US" w:eastAsia="zh-CN" w:bidi="ar-SA"/>
            </w:rPr>
            <w:t>下载日期：</w:t>
          </w:r>
          <w:r>
            <w:rPr>
              <w:rFonts w:ascii="宋体" w:eastAsia="宋体" w:hAnsi="宋体" w:cs="宋体"/>
              <w:color w:val="000000"/>
              <w:sz w:val="23"/>
              <w:szCs w:val="23"/>
              <w:lang w:val="en-US" w:eastAsia="zh-CN" w:bidi="ar-SA"/>
            </w:rPr>
            <w:t>2023-11-20</w:t>
          </w:r>
        </w:p>
      </w:tc>
    </w:tr>
  </w:tbl>
  <w:p w14:paraId="7CC17079" w14:textId="77777777" w:rsidR="00000000" w:rsidRDefault="0088053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74FE71" w14:textId="77777777" w:rsidR="00000000" w:rsidRDefault="0088053E">
      <w:r>
        <w:separator/>
      </w:r>
    </w:p>
  </w:footnote>
  <w:footnote w:type="continuationSeparator" w:id="0">
    <w:p w14:paraId="366A809A" w14:textId="77777777" w:rsidR="00000000" w:rsidRDefault="008805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Spacing w:w="15" w:type="dxa"/>
      <w:tblInd w:w="15" w:type="dxa"/>
      <w:tblCellMar>
        <w:top w:w="15" w:type="dxa"/>
        <w:left w:w="15" w:type="dxa"/>
        <w:bottom w:w="15" w:type="dxa"/>
        <w:right w:w="15" w:type="dxa"/>
      </w:tblCellMar>
      <w:tblLook w:val="04A0" w:firstRow="1" w:lastRow="0" w:firstColumn="1" w:lastColumn="0" w:noHBand="0" w:noVBand="1"/>
    </w:tblPr>
    <w:tblGrid>
      <w:gridCol w:w="4851"/>
      <w:gridCol w:w="5705"/>
    </w:tblGrid>
    <w:tr w:rsidR="00000000" w14:paraId="32D2E196" w14:textId="77777777">
      <w:trPr>
        <w:tblCellSpacing w:w="15" w:type="dxa"/>
      </w:trPr>
      <w:tc>
        <w:tcPr>
          <w:tcW w:w="0" w:type="auto"/>
          <w:tcMar>
            <w:top w:w="15" w:type="dxa"/>
            <w:left w:w="15" w:type="dxa"/>
            <w:bottom w:w="15" w:type="dxa"/>
            <w:right w:w="15" w:type="dxa"/>
          </w:tcMar>
          <w:vAlign w:val="center"/>
          <w:hideMark/>
        </w:tcPr>
        <w:p w14:paraId="6B1FABA8" w14:textId="77777777" w:rsidR="00000000" w:rsidRDefault="0088053E">
          <w:pPr>
            <w:rPr>
              <w:rFonts w:eastAsia="Times New Roman"/>
              <w:color w:val="000000"/>
              <w:lang w:val="en-US" w:eastAsia="zh-CN" w:bidi="ar-SA"/>
            </w:rPr>
          </w:pPr>
          <w:r>
            <w:rPr>
              <w:rFonts w:eastAsia="Times New Roman"/>
              <w:color w:val="000000"/>
              <w:lang w:val="en-US" w:eastAsia="zh-CN" w:bidi="ar-SA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136.5pt;height:24pt;mso-position-horizontal-relative:text;mso-position-vertical-relative:text">
                <v:imagedata r:id="rId1" o:title=""/>
              </v:shape>
            </w:pict>
          </w:r>
        </w:p>
      </w:tc>
      <w:tc>
        <w:tcPr>
          <w:tcW w:w="0" w:type="auto"/>
          <w:tcMar>
            <w:top w:w="15" w:type="dxa"/>
            <w:left w:w="15" w:type="dxa"/>
            <w:bottom w:w="15" w:type="dxa"/>
            <w:right w:w="15" w:type="dxa"/>
          </w:tcMar>
          <w:vAlign w:val="center"/>
          <w:hideMark/>
        </w:tcPr>
        <w:p w14:paraId="39093F6C" w14:textId="77777777" w:rsidR="00000000" w:rsidRDefault="0088053E">
          <w:pPr>
            <w:jc w:val="right"/>
            <w:rPr>
              <w:rFonts w:ascii="宋体" w:eastAsia="宋体" w:hAnsi="宋体" w:cs="宋体"/>
              <w:color w:val="000000"/>
              <w:sz w:val="23"/>
              <w:szCs w:val="23"/>
              <w:lang w:val="en-US" w:eastAsia="zh-CN" w:bidi="ar-SA"/>
            </w:rPr>
          </w:pPr>
          <w:r>
            <w:rPr>
              <w:rFonts w:ascii="宋体" w:eastAsia="宋体" w:hAnsi="宋体" w:cs="宋体"/>
              <w:color w:val="000000"/>
              <w:sz w:val="23"/>
              <w:szCs w:val="23"/>
              <w:lang w:val="en-US" w:eastAsia="zh-CN" w:bidi="ar-SA"/>
            </w:rPr>
            <w:t>【法宝引证码】</w:t>
          </w:r>
          <w:r>
            <w:rPr>
              <w:rFonts w:ascii="宋体" w:eastAsia="宋体" w:hAnsi="宋体" w:cs="宋体"/>
              <w:color w:val="000000"/>
              <w:sz w:val="23"/>
              <w:szCs w:val="23"/>
              <w:lang w:val="en-US" w:eastAsia="zh-CN" w:bidi="ar-SA"/>
            </w:rPr>
            <w:t>CLI.C.84056342</w:t>
          </w:r>
        </w:p>
      </w:tc>
    </w:tr>
  </w:tbl>
  <w:p w14:paraId="5F24F8AE" w14:textId="77777777" w:rsidR="00000000" w:rsidRDefault="0088053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77B3E"/>
    <w:rsid w:val="0088053E"/>
    <w:rsid w:val="00A77B3E"/>
    <w:rsid w:val="00CA2A55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D0234DD"/>
  <w15:chartTrackingRefBased/>
  <w15:docId w15:val="{AC26BC7E-23A6-40DD-9433-85519F152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fulltext-wrap">
    <w:name w:val="fulltext-wrap"/>
    <w:basedOn w:val="a"/>
    <w:pPr>
      <w:pBdr>
        <w:top w:val="none" w:sz="0" w:space="18" w:color="auto"/>
        <w:left w:val="none" w:sz="0" w:space="18" w:color="auto"/>
        <w:bottom w:val="none" w:sz="0" w:space="18" w:color="auto"/>
        <w:right w:val="none" w:sz="0" w:space="18" w:color="auto"/>
      </w:pBdr>
    </w:pPr>
  </w:style>
  <w:style w:type="paragraph" w:customStyle="1" w:styleId="fulltext-wraptitle">
    <w:name w:val="fulltext-wrap_title"/>
    <w:basedOn w:val="a"/>
    <w:pPr>
      <w:jc w:val="center"/>
    </w:pPr>
    <w:rPr>
      <w:sz w:val="30"/>
      <w:szCs w:val="30"/>
    </w:rPr>
  </w:style>
  <w:style w:type="paragraph" w:customStyle="1" w:styleId="div">
    <w:name w:val="div"/>
    <w:basedOn w:val="a"/>
    <w:pPr>
      <w:textAlignment w:val="baseline"/>
    </w:pPr>
  </w:style>
  <w:style w:type="paragraph" w:customStyle="1" w:styleId="divFullText">
    <w:name w:val="divFullText"/>
    <w:basedOn w:val="a"/>
    <w:pPr>
      <w:spacing w:line="600" w:lineRule="atLeast"/>
    </w:pPr>
    <w:rPr>
      <w:rFonts w:ascii="宋体" w:eastAsia="宋体" w:hAnsi="宋体" w:cs="宋体"/>
      <w:color w:val="000000"/>
      <w:sz w:val="27"/>
      <w:szCs w:val="27"/>
    </w:rPr>
  </w:style>
  <w:style w:type="paragraph" w:customStyle="1" w:styleId="p">
    <w:name w:val="p"/>
    <w:basedOn w:val="a"/>
    <w:pPr>
      <w:textAlignment w:val="baseline"/>
    </w:pPr>
  </w:style>
  <w:style w:type="character" w:customStyle="1" w:styleId="span">
    <w:name w:val="span"/>
    <w:basedOn w:val="a0"/>
    <w:rPr>
      <w:sz w:val="24"/>
      <w:szCs w:val="24"/>
      <w:bdr w:val="none" w:sz="0" w:space="0" w:color="auto"/>
      <w:vertAlign w:val="baseline"/>
    </w:rPr>
  </w:style>
  <w:style w:type="character" w:customStyle="1" w:styleId="fulltext-wrapnavtiao">
    <w:name w:val="fulltext-wrap_navtiao"/>
    <w:basedOn w:val="a0"/>
    <w:rPr>
      <w:b/>
      <w:bCs/>
    </w:rPr>
  </w:style>
  <w:style w:type="character" w:customStyle="1" w:styleId="fulltext-wrapfulltexta">
    <w:name w:val="fulltext-wrap_fulltext_a"/>
    <w:basedOn w:val="a0"/>
    <w:rPr>
      <w:color w:val="218FC4"/>
    </w:rPr>
  </w:style>
  <w:style w:type="paragraph" w:styleId="a3">
    <w:name w:val="header"/>
    <w:basedOn w:val="a"/>
    <w:link w:val="a4"/>
    <w:rsid w:val="008805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88053E"/>
    <w:rPr>
      <w:sz w:val="18"/>
      <w:szCs w:val="18"/>
    </w:rPr>
  </w:style>
  <w:style w:type="paragraph" w:styleId="a5">
    <w:name w:val="footer"/>
    <w:basedOn w:val="a"/>
    <w:link w:val="a6"/>
    <w:rsid w:val="0088053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88053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kulaw.com/chl/d33df017c784876fbdfb.html?way=textSlc" TargetMode="External"/><Relationship Id="rId13" Type="http://schemas.openxmlformats.org/officeDocument/2006/relationships/hyperlink" Target="https://www.pkulaw.com/chl/d33df017c784876fbdfb.html?way=textSlc" TargetMode="External"/><Relationship Id="rId18" Type="http://schemas.openxmlformats.org/officeDocument/2006/relationships/hyperlink" Target="http://www.pkulaw.net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pkulaw.com/pfnl/a6bdb3332ec0adc42f082ba44beb74bd3e189f66e35458cebdfb.html" TargetMode="External"/><Relationship Id="rId7" Type="http://schemas.openxmlformats.org/officeDocument/2006/relationships/hyperlink" Target="javascript:LawFirmSearch('&#23433;&#24509;&#30334;&#21830;&#24459;&#24072;&#20107;&#21153;&#25152;')" TargetMode="External"/><Relationship Id="rId12" Type="http://schemas.openxmlformats.org/officeDocument/2006/relationships/hyperlink" Target="https://www.pkulaw.com/chl/d33df017c784876fbdfb.html?way=textSlc" TargetMode="External"/><Relationship Id="rId17" Type="http://schemas.openxmlformats.org/officeDocument/2006/relationships/hyperlink" Target="https://www.pkulaw.com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pkulaw.com/chl/d33df017c784876fbdfb.html?way=textSlc" TargetMode="External"/><Relationship Id="rId20" Type="http://schemas.openxmlformats.org/officeDocument/2006/relationships/image" Target="media/image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pkulaw.com/chl/d33df017c784876fbdfb.html?way=textSlc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www.pkulaw.com/chl/2367b1767194112cbdfb.html?way=textSlc" TargetMode="External"/><Relationship Id="rId23" Type="http://schemas.openxmlformats.org/officeDocument/2006/relationships/footer" Target="footer1.xml"/><Relationship Id="rId10" Type="http://schemas.openxmlformats.org/officeDocument/2006/relationships/hyperlink" Target="https://www.pkulaw.com/chl/2367b1767194112cbdfb.html?way=textSlc" TargetMode="External"/><Relationship Id="rId19" Type="http://schemas.openxmlformats.org/officeDocument/2006/relationships/hyperlink" Target="http://www.pkulaw.com/helps/69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pkulaw.com/chl/2367b1767194112cbdfb.html?way=textSlc" TargetMode="External"/><Relationship Id="rId14" Type="http://schemas.openxmlformats.org/officeDocument/2006/relationships/hyperlink" Target="https://www.pkulaw.com/chl/d33df017c784876fbdfb.html?way=textSlc" TargetMode="External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565</Words>
  <Characters>3223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蒋 沛文</dc:creator>
  <cp:keywords/>
  <cp:lastModifiedBy>蒋 沛文</cp:lastModifiedBy>
  <cp:revision>2</cp:revision>
  <cp:lastPrinted>1601-01-01T00:00:00Z</cp:lastPrinted>
  <dcterms:created xsi:type="dcterms:W3CDTF">2024-05-11T15:45:00Z</dcterms:created>
  <dcterms:modified xsi:type="dcterms:W3CDTF">2024-05-11T15:45:00Z</dcterms:modified>
</cp:coreProperties>
</file>