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1239" w14:textId="77777777" w:rsidR="00000000" w:rsidRDefault="00B24F5A">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束维春诉赵王静民间借贷纠纷案</w:t>
      </w:r>
    </w:p>
    <w:p w14:paraId="30B7EFF9" w14:textId="77777777" w:rsidR="00000000" w:rsidRDefault="00B24F5A">
      <w:pPr>
        <w:ind w:left="375" w:right="375"/>
        <w:rPr>
          <w:rFonts w:ascii="Arial" w:eastAsia="Arial" w:hAnsi="Arial" w:cs="Arial"/>
          <w:lang w:val="en-US" w:eastAsia="zh-CN" w:bidi="ar-SA"/>
        </w:rPr>
      </w:pPr>
      <w:r>
        <w:rPr>
          <w:rFonts w:ascii="Arial" w:eastAsia="Arial" w:hAnsi="Arial" w:cs="Arial"/>
          <w:lang w:val="en-US" w:eastAsia="zh-CN" w:bidi="ar-SA"/>
        </w:rPr>
        <w:br/>
      </w:r>
    </w:p>
    <w:p w14:paraId="1B7DE014" w14:textId="77777777" w:rsidR="00000000" w:rsidRDefault="00B24F5A">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束维春诉赵王静民间借贷纠纷案</w:t>
      </w:r>
    </w:p>
    <w:p w14:paraId="470A10B8" w14:textId="77777777" w:rsidR="00000000" w:rsidRDefault="00B24F5A">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830382F" w14:textId="77777777" w:rsidR="00000000" w:rsidRDefault="00B24F5A">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5163</w:t>
      </w:r>
      <w:r>
        <w:rPr>
          <w:rStyle w:val="span"/>
          <w:rFonts w:ascii="宋体" w:eastAsia="宋体" w:hAnsi="宋体" w:cs="宋体"/>
          <w:color w:val="000000"/>
          <w:sz w:val="27"/>
          <w:szCs w:val="27"/>
          <w:lang w:val="en-US" w:eastAsia="zh-CN" w:bidi="ar-SA"/>
        </w:rPr>
        <w:t>号</w:t>
      </w:r>
    </w:p>
    <w:p w14:paraId="1CE85F02" w14:textId="77777777" w:rsidR="00000000" w:rsidRDefault="00B24F5A">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原告：束维春。原告束维春，被告赵王静到庭参加诉讼。本案现已审理终结。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1" w:name="anchor-3"/>
      <w:bookmarkEnd w:id="1"/>
      <w:r>
        <w:rPr>
          <w:rFonts w:ascii="宋体" w:eastAsia="宋体" w:hAnsi="宋体" w:cs="宋体"/>
          <w:color w:val="000000"/>
          <w:sz w:val="27"/>
          <w:szCs w:val="27"/>
          <w:lang w:val="en-US" w:eastAsia="zh-CN" w:bidi="ar-SA"/>
        </w:rPr>
        <w:t xml:space="preserve">　　原告束维春诉称：原告与被告是熟人关系，</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日，被告因资金周转向原告借款本金</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万元，当时约定借款月利息为百分之二，逾期还款承担借款额</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的违约金。原告将现金如数给付被告，并约定利息一个月一结。给付利息时间到期后，原告找被告要钱，被告说资金困难，暂时没钱给付利</w:t>
      </w:r>
      <w:r>
        <w:rPr>
          <w:rFonts w:ascii="宋体" w:eastAsia="宋体" w:hAnsi="宋体" w:cs="宋体"/>
          <w:color w:val="000000"/>
          <w:sz w:val="27"/>
          <w:szCs w:val="27"/>
          <w:lang w:val="en-US" w:eastAsia="zh-CN" w:bidi="ar-SA"/>
        </w:rPr>
        <w:t>息。被告在</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日付</w:t>
      </w:r>
      <w:r>
        <w:rPr>
          <w:rFonts w:ascii="宋体" w:eastAsia="宋体" w:hAnsi="宋体" w:cs="宋体"/>
          <w:color w:val="000000"/>
          <w:sz w:val="27"/>
          <w:szCs w:val="27"/>
          <w:lang w:val="en-US" w:eastAsia="zh-CN" w:bidi="ar-SA"/>
        </w:rPr>
        <w:t>1900</w:t>
      </w:r>
      <w:r>
        <w:rPr>
          <w:rFonts w:ascii="宋体" w:eastAsia="宋体" w:hAnsi="宋体" w:cs="宋体"/>
          <w:color w:val="000000"/>
          <w:sz w:val="27"/>
          <w:szCs w:val="27"/>
          <w:lang w:val="en-US" w:eastAsia="zh-CN" w:bidi="ar-SA"/>
        </w:rPr>
        <w:t>元利息，同年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日付</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日付</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元利息，共计三笔</w:t>
      </w:r>
      <w:r>
        <w:rPr>
          <w:rFonts w:ascii="宋体" w:eastAsia="宋体" w:hAnsi="宋体" w:cs="宋体"/>
          <w:color w:val="000000"/>
          <w:sz w:val="27"/>
          <w:szCs w:val="27"/>
          <w:lang w:val="en-US" w:eastAsia="zh-CN" w:bidi="ar-SA"/>
        </w:rPr>
        <w:t>17900</w:t>
      </w:r>
      <w:r>
        <w:rPr>
          <w:rFonts w:ascii="宋体" w:eastAsia="宋体" w:hAnsi="宋体" w:cs="宋体"/>
          <w:color w:val="000000"/>
          <w:sz w:val="27"/>
          <w:szCs w:val="27"/>
          <w:lang w:val="en-US" w:eastAsia="zh-CN" w:bidi="ar-SA"/>
        </w:rPr>
        <w:t>元。原告最近找被告要钱，被告又说困难。请求法院判令被告立即给付借款本金</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万元、利息暂计</w:t>
      </w:r>
      <w:r>
        <w:rPr>
          <w:rFonts w:ascii="宋体" w:eastAsia="宋体" w:hAnsi="宋体" w:cs="宋体"/>
          <w:color w:val="000000"/>
          <w:sz w:val="27"/>
          <w:szCs w:val="27"/>
          <w:lang w:val="en-US" w:eastAsia="zh-CN" w:bidi="ar-SA"/>
        </w:rPr>
        <w:t>98700</w:t>
      </w:r>
      <w:r>
        <w:rPr>
          <w:rFonts w:ascii="宋体" w:eastAsia="宋体" w:hAnsi="宋体" w:cs="宋体"/>
          <w:color w:val="000000"/>
          <w:sz w:val="27"/>
          <w:szCs w:val="27"/>
          <w:lang w:val="en-US" w:eastAsia="zh-CN" w:bidi="ar-SA"/>
        </w:rPr>
        <w:t>元（自</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日起按照每月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暂计算到</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日计</w:t>
      </w:r>
      <w:r>
        <w:rPr>
          <w:rFonts w:ascii="宋体" w:eastAsia="宋体" w:hAnsi="宋体" w:cs="宋体"/>
          <w:color w:val="000000"/>
          <w:sz w:val="27"/>
          <w:szCs w:val="27"/>
          <w:lang w:val="en-US" w:eastAsia="zh-CN" w:bidi="ar-SA"/>
        </w:rPr>
        <w:t>116600</w:t>
      </w:r>
      <w:r>
        <w:rPr>
          <w:rFonts w:ascii="宋体" w:eastAsia="宋体" w:hAnsi="宋体" w:cs="宋体"/>
          <w:color w:val="000000"/>
          <w:sz w:val="27"/>
          <w:szCs w:val="27"/>
          <w:lang w:val="en-US" w:eastAsia="zh-CN" w:bidi="ar-SA"/>
        </w:rPr>
        <w:t>元，再减去被告已付的</w:t>
      </w:r>
      <w:r>
        <w:rPr>
          <w:rFonts w:ascii="宋体" w:eastAsia="宋体" w:hAnsi="宋体" w:cs="宋体"/>
          <w:color w:val="000000"/>
          <w:sz w:val="27"/>
          <w:szCs w:val="27"/>
          <w:lang w:val="en-US" w:eastAsia="zh-CN" w:bidi="ar-SA"/>
        </w:rPr>
        <w:t>17900</w:t>
      </w:r>
      <w:r>
        <w:rPr>
          <w:rFonts w:ascii="宋体" w:eastAsia="宋体" w:hAnsi="宋体" w:cs="宋体"/>
          <w:color w:val="000000"/>
          <w:sz w:val="27"/>
          <w:szCs w:val="27"/>
          <w:lang w:val="en-US" w:eastAsia="zh-CN" w:bidi="ar-SA"/>
        </w:rPr>
        <w:t>元），共计</w:t>
      </w:r>
      <w:r>
        <w:rPr>
          <w:rFonts w:ascii="宋体" w:eastAsia="宋体" w:hAnsi="宋体" w:cs="宋体"/>
          <w:color w:val="000000"/>
          <w:sz w:val="27"/>
          <w:szCs w:val="27"/>
          <w:lang w:val="en-US" w:eastAsia="zh-CN" w:bidi="ar-SA"/>
        </w:rPr>
        <w:t>208700</w:t>
      </w:r>
      <w:r>
        <w:rPr>
          <w:rFonts w:ascii="宋体" w:eastAsia="宋体" w:hAnsi="宋体" w:cs="宋体"/>
          <w:color w:val="000000"/>
          <w:sz w:val="27"/>
          <w:szCs w:val="27"/>
          <w:lang w:val="en-US" w:eastAsia="zh-CN" w:bidi="ar-SA"/>
        </w:rPr>
        <w:t>元；本案诉讼费用由被告承担。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2" w:name="anchor-4"/>
      <w:bookmarkEnd w:id="2"/>
      <w:r>
        <w:rPr>
          <w:rFonts w:ascii="宋体" w:eastAsia="宋体" w:hAnsi="宋体" w:cs="宋体"/>
          <w:color w:val="000000"/>
          <w:sz w:val="27"/>
          <w:szCs w:val="27"/>
          <w:lang w:val="en-US" w:eastAsia="zh-CN" w:bidi="ar-SA"/>
        </w:rPr>
        <w:t xml:space="preserve">　　被告赵王静辩称：对借款数额有异议。我确实出具了一张借款</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万元的借条，但实际借款没有</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月左右我借了原告现金</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月左右原告代我支付债务</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万元，后来我将这</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万元作为借款，我实际只借原告</w:t>
      </w:r>
      <w:r>
        <w:rPr>
          <w:rFonts w:ascii="宋体" w:eastAsia="宋体" w:hAnsi="宋体" w:cs="宋体"/>
          <w:color w:val="000000"/>
          <w:sz w:val="27"/>
          <w:szCs w:val="27"/>
          <w:lang w:val="en-US" w:eastAsia="zh-CN" w:bidi="ar-SA"/>
        </w:rPr>
        <w:t>7.5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月原告找到我，要求我出具一张借条，并说曾帮我垫付老刘（曾与我有借贷关系）几万元，就要求我出具一张借款</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万元的借</w:t>
      </w:r>
      <w:r>
        <w:rPr>
          <w:rFonts w:ascii="宋体" w:eastAsia="宋体" w:hAnsi="宋体" w:cs="宋体"/>
          <w:color w:val="000000"/>
          <w:sz w:val="27"/>
          <w:szCs w:val="27"/>
          <w:lang w:val="en-US" w:eastAsia="zh-CN" w:bidi="ar-SA"/>
        </w:rPr>
        <w:lastRenderedPageBreak/>
        <w:t>条，并要求借款时间写在</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日。借款期间我给了原告</w:t>
      </w:r>
      <w:r>
        <w:rPr>
          <w:rFonts w:ascii="宋体" w:eastAsia="宋体" w:hAnsi="宋体" w:cs="宋体"/>
          <w:color w:val="000000"/>
          <w:sz w:val="27"/>
          <w:szCs w:val="27"/>
          <w:lang w:val="en-US" w:eastAsia="zh-CN" w:bidi="ar-SA"/>
        </w:rPr>
        <w:t>17900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3" w:name="anchor-5"/>
      <w:bookmarkEnd w:id="3"/>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年下半年被告赵王静向原告束维春借款</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万元，并出具一张借条。</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月，原、被告与他人发生纠纷，赔偿他人</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万元，该款由原告出资。事</w:t>
      </w:r>
      <w:r>
        <w:rPr>
          <w:rFonts w:ascii="宋体" w:eastAsia="宋体" w:hAnsi="宋体" w:cs="宋体"/>
          <w:color w:val="000000"/>
          <w:sz w:val="27"/>
          <w:szCs w:val="27"/>
          <w:lang w:val="en-US" w:eastAsia="zh-CN" w:bidi="ar-SA"/>
        </w:rPr>
        <w:t>后，被告认可承担</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万元，并向原告出具一份</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万元借条。</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月，原告向被告催款，并称代被告归还他人借款利息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万元。当日，原告要求被告出具一份借款金额为</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万元的借条，该</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万元包括：</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年借款</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万元，被告认可承担赔偿款</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万元以及原告代被告还他人的利息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万元。被告遂按原告要求出具一份借条，主要内容为：今借到束维春现金人民币拾壹万元整，用于周转，约定月利率为百分之二，逾期还款承担借款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的违约金等。被告将此借条的借款日期写为</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另查明：被告当庭陈述合计借</w:t>
      </w:r>
      <w:r>
        <w:rPr>
          <w:rFonts w:ascii="宋体" w:eastAsia="宋体" w:hAnsi="宋体" w:cs="宋体"/>
          <w:color w:val="000000"/>
          <w:sz w:val="27"/>
          <w:szCs w:val="27"/>
          <w:lang w:val="en-US" w:eastAsia="zh-CN" w:bidi="ar-SA"/>
        </w:rPr>
        <w:t>原告</w:t>
      </w:r>
      <w:r>
        <w:rPr>
          <w:rFonts w:ascii="宋体" w:eastAsia="宋体" w:hAnsi="宋体" w:cs="宋体"/>
          <w:color w:val="000000"/>
          <w:sz w:val="27"/>
          <w:szCs w:val="27"/>
          <w:lang w:val="en-US" w:eastAsia="zh-CN" w:bidi="ar-SA"/>
        </w:rPr>
        <w:t>7.5</w:t>
      </w:r>
      <w:r>
        <w:rPr>
          <w:rFonts w:ascii="宋体" w:eastAsia="宋体" w:hAnsi="宋体" w:cs="宋体"/>
          <w:color w:val="000000"/>
          <w:sz w:val="27"/>
          <w:szCs w:val="27"/>
          <w:lang w:val="en-US" w:eastAsia="zh-CN" w:bidi="ar-SA"/>
        </w:rPr>
        <w:t>万元，双方口头约定自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月开始按每</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支付利息。被告于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年支付原告利息</w:t>
      </w:r>
      <w:r>
        <w:rPr>
          <w:rFonts w:ascii="宋体" w:eastAsia="宋体" w:hAnsi="宋体" w:cs="宋体"/>
          <w:color w:val="000000"/>
          <w:sz w:val="27"/>
          <w:szCs w:val="27"/>
          <w:lang w:val="en-US" w:eastAsia="zh-CN" w:bidi="ar-SA"/>
        </w:rPr>
        <w:t>7900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月支付利息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万元，合计支付利息</w:t>
      </w:r>
      <w:r>
        <w:rPr>
          <w:rFonts w:ascii="宋体" w:eastAsia="宋体" w:hAnsi="宋体" w:cs="宋体"/>
          <w:color w:val="000000"/>
          <w:sz w:val="27"/>
          <w:szCs w:val="27"/>
          <w:lang w:val="en-US" w:eastAsia="zh-CN" w:bidi="ar-SA"/>
        </w:rPr>
        <w:t>17900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上述事实，有借条，原、被告身份证，以及原、被告当庭陈述的内容等证实。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4" w:name="anchor-6"/>
      <w:bookmarkEnd w:id="4"/>
      <w:r>
        <w:rPr>
          <w:rFonts w:ascii="宋体" w:eastAsia="宋体" w:hAnsi="宋体" w:cs="宋体"/>
          <w:color w:val="000000"/>
          <w:sz w:val="27"/>
          <w:szCs w:val="27"/>
          <w:lang w:val="en-US" w:eastAsia="zh-CN" w:bidi="ar-SA"/>
        </w:rPr>
        <w:t xml:space="preserve">　　本院认为：原告束维春与被告赵王静当庭一致陈述双方之间存在民间借贷法律关系，但原、被告对借款本金存在争议。被告当庭承认借款本金为</w:t>
      </w:r>
      <w:r>
        <w:rPr>
          <w:rFonts w:ascii="宋体" w:eastAsia="宋体" w:hAnsi="宋体" w:cs="宋体"/>
          <w:color w:val="000000"/>
          <w:sz w:val="27"/>
          <w:szCs w:val="27"/>
          <w:lang w:val="en-US" w:eastAsia="zh-CN" w:bidi="ar-SA"/>
        </w:rPr>
        <w:t>7.5</w:t>
      </w:r>
      <w:r>
        <w:rPr>
          <w:rFonts w:ascii="宋体" w:eastAsia="宋体" w:hAnsi="宋体" w:cs="宋体"/>
          <w:color w:val="000000"/>
          <w:sz w:val="27"/>
          <w:szCs w:val="27"/>
          <w:lang w:val="en-US" w:eastAsia="zh-CN" w:bidi="ar-SA"/>
        </w:rPr>
        <w:t>万元，共余</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万元不予认可。原告陈述代被告归还他人借款利息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万元，却未能提供证据佐证。即便原告代被告支付他人利息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万元属</w:t>
      </w:r>
      <w:r>
        <w:rPr>
          <w:rFonts w:ascii="宋体" w:eastAsia="宋体" w:hAnsi="宋体" w:cs="宋体"/>
          <w:color w:val="000000"/>
          <w:sz w:val="27"/>
          <w:szCs w:val="27"/>
          <w:lang w:val="en-US" w:eastAsia="zh-CN" w:bidi="ar-SA"/>
        </w:rPr>
        <w:t>实，但该款也是双方之间的债权债务纠纷，并非民间借贷法律关系，因此，本院确认被告借原告的本金为</w:t>
      </w:r>
      <w:r>
        <w:rPr>
          <w:rFonts w:ascii="宋体" w:eastAsia="宋体" w:hAnsi="宋体" w:cs="宋体"/>
          <w:color w:val="000000"/>
          <w:sz w:val="27"/>
          <w:szCs w:val="27"/>
          <w:lang w:val="en-US" w:eastAsia="zh-CN" w:bidi="ar-SA"/>
        </w:rPr>
        <w:t>7.5</w:t>
      </w:r>
      <w:r>
        <w:rPr>
          <w:rFonts w:ascii="宋体" w:eastAsia="宋体" w:hAnsi="宋体" w:cs="宋体"/>
          <w:color w:val="000000"/>
          <w:sz w:val="27"/>
          <w:szCs w:val="27"/>
          <w:lang w:val="en-US" w:eastAsia="zh-CN" w:bidi="ar-SA"/>
        </w:rPr>
        <w:t>万元。被告在重新出具的借条中签写借款日为</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日，与原、被告当庭陈述最初借款发生的时间为</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年下半年基本一致，故本院确认该借款日期，被告应自</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日起向原告支付利息。被告辩称双方口头约定自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月起计算利息，无证据证实，本院不予采信。据此，依照</w:t>
      </w:r>
      <w:bookmarkStart w:id="5" w:name="anchor-9"/>
      <w:bookmarkEnd w:id="5"/>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8"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1"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最</w:t>
        </w:r>
        <w:r>
          <w:rPr>
            <w:rStyle w:val="fulltext-wrapfulltexta"/>
            <w:rFonts w:ascii="宋体" w:eastAsia="宋体" w:hAnsi="宋体" w:cs="宋体"/>
            <w:sz w:val="27"/>
            <w:szCs w:val="27"/>
            <w:lang w:val="en-US" w:eastAsia="zh-CN" w:bidi="ar-SA"/>
          </w:rPr>
          <w:t>高人民法院关于审理民间借贷案件适用法律若干问题的规定</w:t>
        </w:r>
      </w:hyperlink>
      <w:r>
        <w:rPr>
          <w:rFonts w:ascii="宋体" w:eastAsia="宋体" w:hAnsi="宋体" w:cs="宋体"/>
          <w:color w:val="000000"/>
          <w:sz w:val="27"/>
          <w:szCs w:val="27"/>
          <w:lang w:val="en-US" w:eastAsia="zh-CN" w:bidi="ar-SA"/>
        </w:rPr>
        <w:t>》第</w:t>
      </w:r>
      <w:hyperlink r:id="rId13"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4" w:anchor="tiao_2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5"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6" w:anchor="tiao_29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第</w:t>
      </w:r>
      <w:hyperlink r:id="rId17" w:anchor="tiao_29_kuan_2_xiang_2" w:history="1">
        <w:r>
          <w:rPr>
            <w:rStyle w:val="fulltext-wrapfulltexta"/>
            <w:rFonts w:ascii="宋体" w:eastAsia="宋体" w:hAnsi="宋体" w:cs="宋体"/>
            <w:sz w:val="27"/>
            <w:szCs w:val="27"/>
            <w:lang w:val="en-US" w:eastAsia="zh-CN" w:bidi="ar-SA"/>
          </w:rPr>
          <w:t>（二）项</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6" w:name="anchor-2"/>
      <w:bookmarkEnd w:id="6"/>
      <w:r>
        <w:rPr>
          <w:rFonts w:ascii="宋体" w:eastAsia="宋体" w:hAnsi="宋体" w:cs="宋体"/>
          <w:color w:val="000000"/>
          <w:sz w:val="27"/>
          <w:szCs w:val="27"/>
          <w:lang w:val="en-US" w:eastAsia="zh-CN" w:bidi="ar-SA"/>
        </w:rPr>
        <w:t xml:space="preserve">　　一、被告赵王静于本判决生效后十日内支付原告束维春借款本金</w:t>
      </w:r>
      <w:r>
        <w:rPr>
          <w:rFonts w:ascii="宋体" w:eastAsia="宋体" w:hAnsi="宋体" w:cs="宋体"/>
          <w:color w:val="000000"/>
          <w:sz w:val="27"/>
          <w:szCs w:val="27"/>
          <w:lang w:val="en-US" w:eastAsia="zh-CN" w:bidi="ar-SA"/>
        </w:rPr>
        <w:t>75000</w:t>
      </w:r>
      <w:r>
        <w:rPr>
          <w:rFonts w:ascii="宋体" w:eastAsia="宋体" w:hAnsi="宋体" w:cs="宋体"/>
          <w:color w:val="000000"/>
          <w:sz w:val="27"/>
          <w:szCs w:val="27"/>
          <w:lang w:val="en-US" w:eastAsia="zh-CN" w:bidi="ar-SA"/>
        </w:rPr>
        <w:t>元，并支付原告利息</w:t>
      </w:r>
      <w:r>
        <w:rPr>
          <w:rFonts w:ascii="宋体" w:eastAsia="宋体" w:hAnsi="宋体" w:cs="宋体"/>
          <w:color w:val="000000"/>
          <w:sz w:val="27"/>
          <w:szCs w:val="27"/>
          <w:lang w:val="en-US" w:eastAsia="zh-CN" w:bidi="ar-SA"/>
        </w:rPr>
        <w:t>61600</w:t>
      </w:r>
      <w:r>
        <w:rPr>
          <w:rFonts w:ascii="宋体" w:eastAsia="宋体" w:hAnsi="宋体" w:cs="宋体"/>
          <w:color w:val="000000"/>
          <w:sz w:val="27"/>
          <w:szCs w:val="27"/>
          <w:lang w:val="en-US" w:eastAsia="zh-CN" w:bidi="ar-SA"/>
        </w:rPr>
        <w:t>元（以</w:t>
      </w:r>
      <w:r>
        <w:rPr>
          <w:rFonts w:ascii="宋体" w:eastAsia="宋体" w:hAnsi="宋体" w:cs="宋体"/>
          <w:color w:val="000000"/>
          <w:sz w:val="27"/>
          <w:szCs w:val="27"/>
          <w:lang w:val="en-US" w:eastAsia="zh-CN" w:bidi="ar-SA"/>
        </w:rPr>
        <w:t>75000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日起按照每月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计算到</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日，再减去被告已付利息</w:t>
      </w:r>
      <w:r>
        <w:rPr>
          <w:rFonts w:ascii="宋体" w:eastAsia="宋体" w:hAnsi="宋体" w:cs="宋体"/>
          <w:color w:val="000000"/>
          <w:sz w:val="27"/>
          <w:szCs w:val="27"/>
          <w:lang w:val="en-US" w:eastAsia="zh-CN" w:bidi="ar-SA"/>
        </w:rPr>
        <w:t>17900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二、驳回原告束维春的其他诉讼请求。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4432</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2216</w:t>
      </w:r>
      <w:r>
        <w:rPr>
          <w:rFonts w:ascii="宋体" w:eastAsia="宋体" w:hAnsi="宋体" w:cs="宋体"/>
          <w:color w:val="000000"/>
          <w:sz w:val="27"/>
          <w:szCs w:val="27"/>
          <w:lang w:val="en-US" w:eastAsia="zh-CN" w:bidi="ar-SA"/>
        </w:rPr>
        <w:t>元，由原告束维春负担</w:t>
      </w:r>
      <w:r>
        <w:rPr>
          <w:rFonts w:ascii="宋体" w:eastAsia="宋体" w:hAnsi="宋体" w:cs="宋体"/>
          <w:color w:val="000000"/>
          <w:sz w:val="27"/>
          <w:szCs w:val="27"/>
          <w:lang w:val="en-US" w:eastAsia="zh-CN" w:bidi="ar-SA"/>
        </w:rPr>
        <w:t>766</w:t>
      </w:r>
      <w:r>
        <w:rPr>
          <w:rFonts w:ascii="宋体" w:eastAsia="宋体" w:hAnsi="宋体" w:cs="宋体"/>
          <w:color w:val="000000"/>
          <w:sz w:val="27"/>
          <w:szCs w:val="27"/>
          <w:lang w:val="en-US" w:eastAsia="zh-CN" w:bidi="ar-SA"/>
        </w:rPr>
        <w:t>元，被告赵王静负担</w:t>
      </w:r>
      <w:r>
        <w:rPr>
          <w:rFonts w:ascii="宋体" w:eastAsia="宋体" w:hAnsi="宋体" w:cs="宋体"/>
          <w:color w:val="000000"/>
          <w:sz w:val="27"/>
          <w:szCs w:val="27"/>
          <w:lang w:val="en-US" w:eastAsia="zh-CN" w:bidi="ar-SA"/>
        </w:rPr>
        <w:t>1450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w:t>
      </w:r>
      <w:r>
        <w:rPr>
          <w:rFonts w:ascii="宋体" w:eastAsia="宋体" w:hAnsi="宋体" w:cs="宋体"/>
          <w:color w:val="000000"/>
          <w:sz w:val="27"/>
          <w:szCs w:val="27"/>
          <w:lang w:val="en-US" w:eastAsia="zh-CN" w:bidi="ar-SA"/>
        </w:rPr>
        <w:t>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7" w:name="anchor-7"/>
      <w:bookmarkEnd w:id="7"/>
    </w:p>
    <w:p w14:paraId="199193D7" w14:textId="77777777" w:rsidR="00000000" w:rsidRDefault="00B24F5A">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审判长　　方业泉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二〇一六年八月三十一日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奚雨杭</w:t>
      </w:r>
    </w:p>
    <w:p w14:paraId="00E156DB" w14:textId="77777777" w:rsidR="00000000" w:rsidRDefault="00B24F5A">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8" w:name="anchor-8"/>
      <w:bookmarkEnd w:id="8"/>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w:t>
      </w:r>
      <w:r>
        <w:rPr>
          <w:rFonts w:ascii="宋体" w:eastAsia="宋体" w:hAnsi="宋体" w:cs="宋体"/>
          <w:color w:val="000000"/>
          <w:sz w:val="27"/>
          <w:szCs w:val="27"/>
          <w:lang w:val="en-US" w:eastAsia="zh-CN" w:bidi="ar-SA"/>
        </w:rPr>
        <w:t>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5FCDC86D" w14:textId="77777777" w:rsidR="00000000" w:rsidRDefault="00B24F5A">
      <w:pPr>
        <w:ind w:left="375" w:right="375"/>
        <w:rPr>
          <w:rFonts w:ascii="Arial" w:eastAsia="Arial" w:hAnsi="Arial" w:cs="Arial"/>
          <w:lang w:val="en-US" w:eastAsia="zh-CN" w:bidi="ar-SA"/>
        </w:rPr>
      </w:pPr>
      <w:r>
        <w:rPr>
          <w:rFonts w:ascii="Arial" w:eastAsia="Arial" w:hAnsi="Arial" w:cs="Arial"/>
          <w:lang w:val="en-US" w:eastAsia="zh-CN" w:bidi="ar-SA"/>
        </w:rPr>
        <w:br/>
      </w:r>
    </w:p>
    <w:p w14:paraId="748EF8A1" w14:textId="77777777" w:rsidR="00000000" w:rsidRDefault="00A77B3E">
      <w:pPr>
        <w:spacing w:line="630" w:lineRule="atLeast"/>
        <w:rPr>
          <w:rFonts w:eastAsia="Times New Roman"/>
          <w:sz w:val="26"/>
          <w:szCs w:val="26"/>
          <w:lang w:val="en-US" w:eastAsia="zh-CN" w:bidi="ar-SA"/>
        </w:rPr>
      </w:pPr>
      <w:r>
        <w:br w:type="page"/>
      </w:r>
      <w:r w:rsidR="00B24F5A">
        <w:rPr>
          <w:rFonts w:eastAsia="Times New Roman"/>
          <w:sz w:val="26"/>
          <w:szCs w:val="26"/>
          <w:lang w:val="en-US" w:eastAsia="zh-CN" w:bidi="ar-SA"/>
        </w:rPr>
        <w:t>©北大法宝：（</w:t>
      </w:r>
      <w:hyperlink r:id="rId23" w:history="1">
        <w:r w:rsidR="00B24F5A">
          <w:rPr>
            <w:rFonts w:eastAsia="Times New Roman"/>
            <w:color w:val="218FC4"/>
            <w:sz w:val="26"/>
            <w:szCs w:val="26"/>
            <w:u w:val="single" w:color="218FC4"/>
            <w:lang w:val="en-US" w:eastAsia="zh-CN" w:bidi="ar-SA"/>
          </w:rPr>
          <w:t>www.pkulaw.com</w:t>
        </w:r>
      </w:hyperlink>
      <w:r w:rsidR="00B24F5A">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B24F5A">
          <w:rPr>
            <w:rFonts w:eastAsia="Times New Roman"/>
            <w:color w:val="218FC4"/>
            <w:sz w:val="26"/>
            <w:szCs w:val="26"/>
            <w:u w:val="single" w:color="218FC4"/>
            <w:lang w:val="en-US" w:eastAsia="zh-CN" w:bidi="ar-SA"/>
          </w:rPr>
          <w:t>产品和服务</w:t>
        </w:r>
      </w:hyperlink>
      <w:r w:rsidR="00B24F5A">
        <w:rPr>
          <w:rFonts w:eastAsia="Times New Roman"/>
          <w:sz w:val="26"/>
          <w:szCs w:val="26"/>
          <w:lang w:val="en-US" w:eastAsia="zh-CN" w:bidi="ar-SA"/>
        </w:rPr>
        <w:t>。</w:t>
      </w:r>
      <w:r w:rsidR="00B24F5A">
        <w:rPr>
          <w:rFonts w:eastAsia="Times New Roman"/>
          <w:sz w:val="26"/>
          <w:szCs w:val="26"/>
          <w:lang w:val="en-US" w:eastAsia="zh-CN" w:bidi="ar-SA"/>
        </w:rPr>
        <w:br/>
      </w:r>
      <w:hyperlink r:id="rId25" w:tgtFrame="_blank" w:history="1">
        <w:r w:rsidR="00B24F5A">
          <w:rPr>
            <w:rFonts w:eastAsia="Times New Roman"/>
            <w:color w:val="218FC4"/>
            <w:sz w:val="26"/>
            <w:szCs w:val="26"/>
            <w:u w:val="single" w:color="218FC4"/>
            <w:lang w:val="en-US" w:eastAsia="zh-CN" w:bidi="ar-SA"/>
          </w:rPr>
          <w:t>法宝快讯： 如何快速找到您需要的检索结果？ 法宝 V6 有何新特色？</w:t>
        </w:r>
      </w:hyperlink>
    </w:p>
    <w:p w14:paraId="2BE52789" w14:textId="77777777" w:rsidR="00000000" w:rsidRDefault="00B24F5A">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112A6DBE" w14:textId="77777777" w:rsidR="00000000" w:rsidRDefault="00B24F5A">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3C0C3A1" w14:textId="77777777" w:rsidR="00000000" w:rsidRDefault="00B24F5A">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https://www.pkulaw.com/pfnl/a25051f3312b07f38af</w:t>
        </w:r>
        <w:r>
          <w:rPr>
            <w:rFonts w:eastAsia="Times New Roman"/>
            <w:color w:val="000000"/>
            <w:sz w:val="26"/>
            <w:szCs w:val="26"/>
            <w:u w:val="single" w:color="000000"/>
            <w:lang w:val="en-US" w:eastAsia="zh-CN" w:bidi="ar-SA"/>
          </w:rPr>
          <w:t xml:space="preserve">5aaf1c329152a82b9aa890b207749bdfb.html </w:t>
        </w:r>
      </w:hyperlink>
    </w:p>
    <w:p w14:paraId="351DB468"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78DE2" w14:textId="77777777" w:rsidR="00000000" w:rsidRDefault="00B24F5A">
      <w:r>
        <w:separator/>
      </w:r>
    </w:p>
  </w:endnote>
  <w:endnote w:type="continuationSeparator" w:id="0">
    <w:p w14:paraId="595888FA" w14:textId="77777777" w:rsidR="00000000" w:rsidRDefault="00B24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EF2F0A6" w14:textId="77777777">
      <w:trPr>
        <w:tblCellSpacing w:w="15" w:type="dxa"/>
      </w:trPr>
      <w:tc>
        <w:tcPr>
          <w:tcW w:w="1530" w:type="dxa"/>
          <w:tcMar>
            <w:top w:w="15" w:type="dxa"/>
            <w:left w:w="15" w:type="dxa"/>
            <w:bottom w:w="15" w:type="dxa"/>
            <w:right w:w="15" w:type="dxa"/>
          </w:tcMar>
          <w:vAlign w:val="center"/>
          <w:hideMark/>
        </w:tcPr>
        <w:p w14:paraId="69D7596B" w14:textId="77777777" w:rsidR="00000000" w:rsidRDefault="00B24F5A">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58E4B7F" w14:textId="77777777" w:rsidR="00000000" w:rsidRDefault="00B24F5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0906DBE9" w14:textId="77777777" w:rsidR="00000000" w:rsidRDefault="00B24F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C71B" w14:textId="77777777" w:rsidR="00000000" w:rsidRDefault="00B24F5A">
      <w:r>
        <w:separator/>
      </w:r>
    </w:p>
  </w:footnote>
  <w:footnote w:type="continuationSeparator" w:id="0">
    <w:p w14:paraId="2A7703F9" w14:textId="77777777" w:rsidR="00000000" w:rsidRDefault="00B24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490F41B" w14:textId="77777777">
      <w:trPr>
        <w:tblCellSpacing w:w="15" w:type="dxa"/>
      </w:trPr>
      <w:tc>
        <w:tcPr>
          <w:tcW w:w="0" w:type="auto"/>
          <w:tcMar>
            <w:top w:w="15" w:type="dxa"/>
            <w:left w:w="15" w:type="dxa"/>
            <w:bottom w:w="15" w:type="dxa"/>
            <w:right w:w="15" w:type="dxa"/>
          </w:tcMar>
          <w:vAlign w:val="center"/>
          <w:hideMark/>
        </w:tcPr>
        <w:p w14:paraId="72291B2E" w14:textId="77777777" w:rsidR="00000000" w:rsidRDefault="00B24F5A">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E04ADEC" w14:textId="77777777" w:rsidR="00000000" w:rsidRDefault="00B24F5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CLI.C.53954227</w:t>
          </w:r>
        </w:p>
      </w:tc>
    </w:tr>
  </w:tbl>
  <w:p w14:paraId="47F15A38" w14:textId="77777777" w:rsidR="00000000" w:rsidRDefault="00B24F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24F5A"/>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E81CC"/>
  <w15:chartTrackingRefBased/>
  <w15:docId w15:val="{DE247914-9468-4394-9013-5BE0CD70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B24F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24F5A"/>
    <w:rPr>
      <w:sz w:val="18"/>
      <w:szCs w:val="18"/>
    </w:rPr>
  </w:style>
  <w:style w:type="paragraph" w:styleId="a5">
    <w:name w:val="footer"/>
    <w:basedOn w:val="a"/>
    <w:link w:val="a6"/>
    <w:rsid w:val="00B24F5A"/>
    <w:pPr>
      <w:tabs>
        <w:tab w:val="center" w:pos="4153"/>
        <w:tab w:val="right" w:pos="8306"/>
      </w:tabs>
      <w:snapToGrid w:val="0"/>
    </w:pPr>
    <w:rPr>
      <w:sz w:val="18"/>
      <w:szCs w:val="18"/>
    </w:rPr>
  </w:style>
  <w:style w:type="character" w:customStyle="1" w:styleId="a6">
    <w:name w:val="页脚 字符"/>
    <w:basedOn w:val="a0"/>
    <w:link w:val="a5"/>
    <w:rsid w:val="00B24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7f092abe1cd5ab4bdfb.html?way=textSlc"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https://www.pkulaw.com/chl/27f092abe1cd5ab4bdfb.html?way=textSlc"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da2f720580aa7c0cbdfb.html?way=textSlc" TargetMode="External"/><Relationship Id="rId27" Type="http://schemas.openxmlformats.org/officeDocument/2006/relationships/hyperlink" Target="https://www.pkulaw.com/pfnl/a25051f3312b07f38af5aaf1c329152a82b9aa890b207749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