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F9AF0" w14:textId="77777777" w:rsidR="00000000" w:rsidRDefault="002E17DF">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张圣仓诉汤浚等民间借贷纠纷案</w:t>
      </w:r>
    </w:p>
    <w:p w14:paraId="4997DDC7" w14:textId="77777777" w:rsidR="00000000" w:rsidRDefault="002E17DF">
      <w:pPr>
        <w:ind w:left="375" w:right="375"/>
        <w:rPr>
          <w:rFonts w:ascii="Arial" w:eastAsia="Arial" w:hAnsi="Arial" w:cs="Arial"/>
          <w:lang w:val="en-US" w:eastAsia="zh-CN" w:bidi="ar-SA"/>
        </w:rPr>
      </w:pPr>
      <w:r>
        <w:rPr>
          <w:rFonts w:ascii="Arial" w:eastAsia="Arial" w:hAnsi="Arial" w:cs="Arial"/>
          <w:lang w:val="en-US" w:eastAsia="zh-CN" w:bidi="ar-SA"/>
        </w:rPr>
        <w:br/>
      </w:r>
    </w:p>
    <w:p w14:paraId="6223E70B" w14:textId="77777777" w:rsidR="00000000" w:rsidRDefault="002E17DF">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张圣仓诉汤浚等民间借贷纠纷案</w:t>
      </w:r>
    </w:p>
    <w:p w14:paraId="16638357" w14:textId="77777777" w:rsidR="00000000" w:rsidRDefault="002E17DF">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02B25B21" w14:textId="77777777" w:rsidR="00000000" w:rsidRDefault="002E17DF">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(2014)</w:t>
      </w:r>
      <w:r>
        <w:rPr>
          <w:rStyle w:val="span"/>
          <w:rFonts w:ascii="宋体" w:eastAsia="宋体" w:hAnsi="宋体" w:cs="宋体"/>
          <w:color w:val="000000"/>
          <w:sz w:val="27"/>
          <w:szCs w:val="27"/>
          <w:lang w:val="en-US" w:eastAsia="zh-CN" w:bidi="ar-SA"/>
        </w:rPr>
        <w:t>包民一初字第</w:t>
      </w:r>
      <w:r>
        <w:rPr>
          <w:rStyle w:val="span"/>
          <w:rFonts w:ascii="宋体" w:eastAsia="宋体" w:hAnsi="宋体" w:cs="宋体"/>
          <w:color w:val="000000"/>
          <w:sz w:val="27"/>
          <w:szCs w:val="27"/>
          <w:lang w:val="en-US" w:eastAsia="zh-CN" w:bidi="ar-SA"/>
        </w:rPr>
        <w:t>00851</w:t>
      </w:r>
      <w:r>
        <w:rPr>
          <w:rStyle w:val="span"/>
          <w:rFonts w:ascii="宋体" w:eastAsia="宋体" w:hAnsi="宋体" w:cs="宋体"/>
          <w:color w:val="000000"/>
          <w:sz w:val="27"/>
          <w:szCs w:val="27"/>
          <w:lang w:val="en-US" w:eastAsia="zh-CN" w:bidi="ar-SA"/>
        </w:rPr>
        <w:t>号</w:t>
      </w:r>
    </w:p>
    <w:p w14:paraId="0F5EAF26" w14:textId="77777777" w:rsidR="00000000" w:rsidRDefault="002E17DF">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原告：张圣仓。</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被告：汤浚。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委托代理人：王涛，</w:t>
      </w:r>
      <w:hyperlink r:id="rId7" w:history="1">
        <w:r>
          <w:rPr>
            <w:rStyle w:val="fulltext-wrapfulltexta"/>
            <w:rFonts w:ascii="宋体" w:eastAsia="宋体" w:hAnsi="宋体" w:cs="宋体"/>
            <w:sz w:val="27"/>
            <w:szCs w:val="27"/>
            <w:lang w:val="en-US" w:eastAsia="zh-CN" w:bidi="ar-SA"/>
          </w:rPr>
          <w:t>上海天衍禾律师事务所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被告：王恒。</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原告张圣仓诉被告汤浚、王恒民间借贷纠纷一案，本院于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29</w:t>
      </w:r>
      <w:r>
        <w:rPr>
          <w:rFonts w:ascii="宋体" w:eastAsia="宋体" w:hAnsi="宋体" w:cs="宋体"/>
          <w:color w:val="000000"/>
          <w:sz w:val="27"/>
          <w:szCs w:val="27"/>
          <w:lang w:val="en-US" w:eastAsia="zh-CN" w:bidi="ar-SA"/>
        </w:rPr>
        <w:t>日立案受理。依法由审判员张之悦适用简易程序公开开庭进行了审理。原</w:t>
      </w:r>
      <w:r>
        <w:rPr>
          <w:rFonts w:ascii="宋体" w:eastAsia="宋体" w:hAnsi="宋体" w:cs="宋体"/>
          <w:color w:val="000000"/>
          <w:sz w:val="27"/>
          <w:szCs w:val="27"/>
          <w:lang w:val="en-US" w:eastAsia="zh-CN" w:bidi="ar-SA"/>
        </w:rPr>
        <w:t>告张圣仓、被告汤浚的委托代理人王涛到庭参加诉讼。被告王恒经本院传票传唤无正当理由未到庭参加诉讼。本案现已审理终结。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原告张圣仓诉称：</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日，被告汤浚以其公司开发六安市的房地产项目需要资金周转为由，以个人名义向原告借款</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万元，约定利息</w:t>
      </w:r>
      <w:r>
        <w:rPr>
          <w:rFonts w:ascii="宋体" w:eastAsia="宋体" w:hAnsi="宋体" w:cs="宋体"/>
          <w:color w:val="000000"/>
          <w:sz w:val="27"/>
          <w:szCs w:val="27"/>
          <w:lang w:val="en-US" w:eastAsia="zh-CN" w:bidi="ar-SA"/>
        </w:rPr>
        <w:t>2.2</w:t>
      </w:r>
      <w:r>
        <w:rPr>
          <w:rFonts w:ascii="宋体" w:eastAsia="宋体" w:hAnsi="宋体" w:cs="宋体"/>
          <w:color w:val="000000"/>
          <w:sz w:val="27"/>
          <w:szCs w:val="27"/>
          <w:lang w:val="en-US" w:eastAsia="zh-CN" w:bidi="ar-SA"/>
        </w:rPr>
        <w:t>分，一至两个月结一次利息，本金随要随还，被告王恒在借条上签字做担保，有见证人张迎会证明。原告于</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日通过合肥科技农村商业银行蜀山支行将借款打入被告汤浚指定的账号。后在原告的无数次催促下，被告总是以各种谎言搪塞和拖延还款。为此诉请判令：</w:t>
      </w:r>
      <w:r>
        <w:rPr>
          <w:rFonts w:ascii="宋体" w:eastAsia="宋体" w:hAnsi="宋体" w:cs="宋体"/>
          <w:color w:val="000000"/>
          <w:sz w:val="27"/>
          <w:szCs w:val="27"/>
          <w:lang w:val="en-US" w:eastAsia="zh-CN" w:bidi="ar-SA"/>
        </w:rPr>
        <w:t>l</w:t>
      </w:r>
      <w:r>
        <w:rPr>
          <w:rFonts w:ascii="宋体" w:eastAsia="宋体" w:hAnsi="宋体" w:cs="宋体"/>
          <w:color w:val="000000"/>
          <w:sz w:val="27"/>
          <w:szCs w:val="27"/>
          <w:lang w:val="en-US" w:eastAsia="zh-CN" w:bidi="ar-SA"/>
        </w:rPr>
        <w:t>、被告汤浚偿还原告借款本金</w:t>
      </w:r>
      <w:r>
        <w:rPr>
          <w:rFonts w:ascii="宋体" w:eastAsia="宋体" w:hAnsi="宋体" w:cs="宋体"/>
          <w:color w:val="000000"/>
          <w:sz w:val="27"/>
          <w:szCs w:val="27"/>
          <w:lang w:val="en-US" w:eastAsia="zh-CN" w:bidi="ar-SA"/>
        </w:rPr>
        <w:t>100000</w:t>
      </w:r>
      <w:r>
        <w:rPr>
          <w:rFonts w:ascii="宋体" w:eastAsia="宋体" w:hAnsi="宋体" w:cs="宋体"/>
          <w:color w:val="000000"/>
          <w:sz w:val="27"/>
          <w:szCs w:val="27"/>
          <w:lang w:val="en-US" w:eastAsia="zh-CN" w:bidi="ar-SA"/>
        </w:rPr>
        <w:t>元，并按同期银行贷款四倍利率支付利息（自</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日计算至本案判决执行日），若被告仍不归还，则按约定利息顺延至本全完全清偿；</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、被告王恒对上述</w:t>
      </w:r>
      <w:r>
        <w:rPr>
          <w:rFonts w:ascii="宋体" w:eastAsia="宋体" w:hAnsi="宋体" w:cs="宋体"/>
          <w:color w:val="000000"/>
          <w:sz w:val="27"/>
          <w:szCs w:val="27"/>
          <w:lang w:val="en-US" w:eastAsia="zh-CN" w:bidi="ar-SA"/>
        </w:rPr>
        <w:lastRenderedPageBreak/>
        <w:t>债务承担连带责任；</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、本案诉讼费用由两被告承担。</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被告汤浚辩称：借条上没有约定利息，根据法律规定，应按无息借款处理。己还的</w:t>
      </w:r>
      <w:r>
        <w:rPr>
          <w:rFonts w:ascii="宋体" w:eastAsia="宋体" w:hAnsi="宋体" w:cs="宋体"/>
          <w:color w:val="000000"/>
          <w:sz w:val="27"/>
          <w:szCs w:val="27"/>
          <w:lang w:val="en-US" w:eastAsia="zh-CN" w:bidi="ar-SA"/>
        </w:rPr>
        <w:t>4400</w:t>
      </w:r>
      <w:r>
        <w:rPr>
          <w:rFonts w:ascii="宋体" w:eastAsia="宋体" w:hAnsi="宋体" w:cs="宋体"/>
          <w:color w:val="000000"/>
          <w:sz w:val="27"/>
          <w:szCs w:val="27"/>
          <w:lang w:val="en-US" w:eastAsia="zh-CN" w:bidi="ar-SA"/>
        </w:rPr>
        <w:t>元，应从本金中扣除。</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被告王恒未作辩解与提供证据。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经审理查明：</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日，被告汤浚出具借条一张，载明</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今借到张圣仓人民币壹拾万元整</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，被告王恒作为担保人在借条</w:t>
      </w:r>
      <w:r>
        <w:rPr>
          <w:rFonts w:ascii="宋体" w:eastAsia="宋体" w:hAnsi="宋体" w:cs="宋体"/>
          <w:color w:val="000000"/>
          <w:sz w:val="27"/>
          <w:szCs w:val="27"/>
          <w:lang w:val="en-US" w:eastAsia="zh-CN" w:bidi="ar-SA"/>
        </w:rPr>
        <w:t>上签名。当庭原告张圣仓确认收到被告汤浚归还的</w:t>
      </w:r>
      <w:r>
        <w:rPr>
          <w:rFonts w:ascii="宋体" w:eastAsia="宋体" w:hAnsi="宋体" w:cs="宋体"/>
          <w:color w:val="000000"/>
          <w:sz w:val="27"/>
          <w:szCs w:val="27"/>
          <w:lang w:val="en-US" w:eastAsia="zh-CN" w:bidi="ar-SA"/>
        </w:rPr>
        <w:t>4400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上述事实，有当事人身份信息、借条及当庭陈述予以证实。</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合法的借贷关系受法律保护。本案中，被告汤浚向原告张迎会借款并出具借条，其借贷事实清楚，原、被告之间形成了借款合同关系，本院予以确认。被告王恒自愿为汤浚提供担保，未约定保证方式和保证担保的范围，依照</w:t>
      </w:r>
      <w:bookmarkStart w:id="6" w:name="anchor-9"/>
      <w:bookmarkEnd w:id="6"/>
      <w:r>
        <w:rPr>
          <w:rFonts w:ascii="宋体" w:eastAsia="宋体" w:hAnsi="宋体" w:cs="宋体"/>
          <w:color w:val="000000"/>
          <w:sz w:val="27"/>
          <w:szCs w:val="27"/>
          <w:lang w:val="en-US" w:eastAsia="zh-CN" w:bidi="ar-SA"/>
        </w:rPr>
        <w:t>《</w:t>
      </w:r>
      <w:hyperlink r:id="rId8" w:history="1">
        <w:r>
          <w:rPr>
            <w:rStyle w:val="fulltext-wrapfulltexta"/>
            <w:rFonts w:ascii="宋体" w:eastAsia="宋体" w:hAnsi="宋体" w:cs="宋体"/>
            <w:sz w:val="27"/>
            <w:szCs w:val="27"/>
            <w:lang w:val="en-US" w:eastAsia="zh-CN" w:bidi="ar-SA"/>
          </w:rPr>
          <w:t>担保法</w:t>
        </w:r>
      </w:hyperlink>
      <w:r>
        <w:rPr>
          <w:rFonts w:ascii="宋体" w:eastAsia="宋体" w:hAnsi="宋体" w:cs="宋体"/>
          <w:color w:val="000000"/>
          <w:sz w:val="27"/>
          <w:szCs w:val="27"/>
          <w:lang w:val="en-US" w:eastAsia="zh-CN" w:bidi="ar-SA"/>
        </w:rPr>
        <w:t>》的规</w:t>
      </w:r>
      <w:r>
        <w:rPr>
          <w:rFonts w:ascii="宋体" w:eastAsia="宋体" w:hAnsi="宋体" w:cs="宋体"/>
          <w:color w:val="000000"/>
          <w:sz w:val="27"/>
          <w:szCs w:val="27"/>
          <w:lang w:val="en-US" w:eastAsia="zh-CN" w:bidi="ar-SA"/>
        </w:rPr>
        <w:t>定，应按照连带责任保证承担保证责任并对全部债务承担责任。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因双方未在借条上约定利息支付，视为不支付利息，己付的</w:t>
      </w:r>
      <w:r>
        <w:rPr>
          <w:rFonts w:ascii="宋体" w:eastAsia="宋体" w:hAnsi="宋体" w:cs="宋体"/>
          <w:color w:val="000000"/>
          <w:sz w:val="27"/>
          <w:szCs w:val="27"/>
          <w:lang w:val="en-US" w:eastAsia="zh-CN" w:bidi="ar-SA"/>
        </w:rPr>
        <w:t>4400</w:t>
      </w:r>
      <w:r>
        <w:rPr>
          <w:rFonts w:ascii="宋体" w:eastAsia="宋体" w:hAnsi="宋体" w:cs="宋体"/>
          <w:color w:val="000000"/>
          <w:sz w:val="27"/>
          <w:szCs w:val="27"/>
          <w:lang w:val="en-US" w:eastAsia="zh-CN" w:bidi="ar-SA"/>
        </w:rPr>
        <w:t>元应从本金中扣除；经原告催告后被告未还款，原告主张利息的，可从起诉之日按中国人民银行同期同类贷款基准利率的标准计算逾期还款利息。原告主张按约定的同期贷款利率四倍计算利息，不予支持。被告王恒经本院送达开庭传票而未到庭，视为放弃抗辩。据此，依照《</w:t>
      </w:r>
      <w:hyperlink r:id="rId9"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》第</w:t>
      </w:r>
      <w:hyperlink r:id="rId10" w:anchor="tiao_90" w:history="1">
        <w:r>
          <w:rPr>
            <w:rStyle w:val="fulltext-wrapfulltexta"/>
            <w:rFonts w:ascii="宋体" w:eastAsia="宋体" w:hAnsi="宋体" w:cs="宋体"/>
            <w:sz w:val="27"/>
            <w:szCs w:val="27"/>
            <w:lang w:val="en-US" w:eastAsia="zh-CN" w:bidi="ar-SA"/>
          </w:rPr>
          <w:t>九十条</w:t>
        </w:r>
      </w:hyperlink>
      <w:r>
        <w:rPr>
          <w:rFonts w:ascii="宋体" w:eastAsia="宋体" w:hAnsi="宋体" w:cs="宋体"/>
          <w:color w:val="000000"/>
          <w:sz w:val="27"/>
          <w:szCs w:val="27"/>
          <w:lang w:val="en-US" w:eastAsia="zh-CN" w:bidi="ar-SA"/>
        </w:rPr>
        <w:t>、《</w:t>
      </w:r>
      <w:hyperlink r:id="rId11"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2"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、第</w:t>
      </w:r>
      <w:hyperlink r:id="rId13" w:anchor="tiao_211" w:history="1">
        <w:r>
          <w:rPr>
            <w:rStyle w:val="fulltext-wrapfulltexta"/>
            <w:rFonts w:ascii="宋体" w:eastAsia="宋体" w:hAnsi="宋体" w:cs="宋体"/>
            <w:sz w:val="27"/>
            <w:szCs w:val="27"/>
            <w:lang w:val="en-US" w:eastAsia="zh-CN" w:bidi="ar-SA"/>
          </w:rPr>
          <w:t>二百一十一条</w:t>
        </w:r>
      </w:hyperlink>
      <w:r>
        <w:rPr>
          <w:rFonts w:ascii="宋体" w:eastAsia="宋体" w:hAnsi="宋体" w:cs="宋体"/>
          <w:color w:val="000000"/>
          <w:sz w:val="27"/>
          <w:szCs w:val="27"/>
          <w:lang w:val="en-US" w:eastAsia="zh-CN" w:bidi="ar-SA"/>
        </w:rPr>
        <w:t>第</w:t>
      </w:r>
      <w:hyperlink r:id="rId14" w:anchor="tiao_211_kuan_1" w:history="1">
        <w:r>
          <w:rPr>
            <w:rStyle w:val="fulltext-wrapfulltexta"/>
            <w:rFonts w:ascii="宋体" w:eastAsia="宋体" w:hAnsi="宋体" w:cs="宋体"/>
            <w:sz w:val="27"/>
            <w:szCs w:val="27"/>
            <w:lang w:val="en-US" w:eastAsia="zh-CN" w:bidi="ar-SA"/>
          </w:rPr>
          <w:t>一款</w:t>
        </w:r>
      </w:hyperlink>
      <w:r>
        <w:rPr>
          <w:rFonts w:ascii="宋体" w:eastAsia="宋体" w:hAnsi="宋体" w:cs="宋体"/>
          <w:color w:val="000000"/>
          <w:sz w:val="27"/>
          <w:szCs w:val="27"/>
          <w:lang w:val="en-US" w:eastAsia="zh-CN" w:bidi="ar-SA"/>
        </w:rPr>
        <w:t>，《</w:t>
      </w:r>
      <w:hyperlink r:id="rId15" w:history="1">
        <w:r>
          <w:rPr>
            <w:rStyle w:val="fulltext-wrapfulltexta"/>
            <w:rFonts w:ascii="宋体" w:eastAsia="宋体" w:hAnsi="宋体" w:cs="宋体"/>
            <w:sz w:val="27"/>
            <w:szCs w:val="27"/>
            <w:lang w:val="en-US" w:eastAsia="zh-CN" w:bidi="ar-SA"/>
          </w:rPr>
          <w:t>中华人民共和国担保法</w:t>
        </w:r>
      </w:hyperlink>
      <w:r>
        <w:rPr>
          <w:rFonts w:ascii="宋体" w:eastAsia="宋体" w:hAnsi="宋体" w:cs="宋体"/>
          <w:color w:val="000000"/>
          <w:sz w:val="27"/>
          <w:szCs w:val="27"/>
          <w:lang w:val="en-US" w:eastAsia="zh-CN" w:bidi="ar-SA"/>
        </w:rPr>
        <w:t>》第</w:t>
      </w:r>
      <w:hyperlink r:id="rId16" w:anchor="tiao_19" w:history="1">
        <w:r>
          <w:rPr>
            <w:rStyle w:val="fulltext-wrapfulltexta"/>
            <w:rFonts w:ascii="宋体" w:eastAsia="宋体" w:hAnsi="宋体" w:cs="宋体"/>
            <w:sz w:val="27"/>
            <w:szCs w:val="27"/>
            <w:lang w:val="en-US" w:eastAsia="zh-CN" w:bidi="ar-SA"/>
          </w:rPr>
          <w:t>十九条</w:t>
        </w:r>
      </w:hyperlink>
      <w:r>
        <w:rPr>
          <w:rFonts w:ascii="宋体" w:eastAsia="宋体" w:hAnsi="宋体" w:cs="宋体"/>
          <w:color w:val="000000"/>
          <w:sz w:val="27"/>
          <w:szCs w:val="27"/>
          <w:lang w:val="en-US" w:eastAsia="zh-CN" w:bidi="ar-SA"/>
        </w:rPr>
        <w:t>、第</w:t>
      </w:r>
      <w:hyperlink r:id="rId17" w:anchor="tiao_21" w:history="1">
        <w:r>
          <w:rPr>
            <w:rStyle w:val="fulltext-wrapfulltexta"/>
            <w:rFonts w:ascii="宋体" w:eastAsia="宋体" w:hAnsi="宋体" w:cs="宋体"/>
            <w:sz w:val="27"/>
            <w:szCs w:val="27"/>
            <w:lang w:val="en-US" w:eastAsia="zh-CN" w:bidi="ar-SA"/>
          </w:rPr>
          <w:t>二十一条</w:t>
        </w:r>
      </w:hyperlink>
      <w:r>
        <w:rPr>
          <w:rFonts w:ascii="宋体" w:eastAsia="宋体" w:hAnsi="宋体" w:cs="宋体"/>
          <w:color w:val="000000"/>
          <w:sz w:val="27"/>
          <w:szCs w:val="27"/>
          <w:lang w:val="en-US" w:eastAsia="zh-CN" w:bidi="ar-SA"/>
        </w:rPr>
        <w:t>，《</w:t>
      </w:r>
      <w:hyperlink r:id="rId18" w:history="1">
        <w:r>
          <w:rPr>
            <w:rStyle w:val="fulltext-wrapfulltexta"/>
            <w:rFonts w:ascii="宋体" w:eastAsia="宋体" w:hAnsi="宋体" w:cs="宋体"/>
            <w:sz w:val="27"/>
            <w:szCs w:val="27"/>
            <w:lang w:val="en-US" w:eastAsia="zh-CN" w:bidi="ar-SA"/>
          </w:rPr>
          <w:t>最高人民法院关于人民法院审理借贷案件的若干意见</w:t>
        </w:r>
      </w:hyperlink>
      <w:r>
        <w:rPr>
          <w:rFonts w:ascii="宋体" w:eastAsia="宋体" w:hAnsi="宋体" w:cs="宋体"/>
          <w:color w:val="000000"/>
          <w:sz w:val="27"/>
          <w:szCs w:val="27"/>
          <w:lang w:val="en-US" w:eastAsia="zh-CN" w:bidi="ar-SA"/>
        </w:rPr>
        <w:t>》第九条，《</w:t>
      </w:r>
      <w:hyperlink r:id="rId19" w:history="1">
        <w:r>
          <w:rPr>
            <w:rStyle w:val="fulltext-wrapfulltexta"/>
            <w:rFonts w:ascii="宋体" w:eastAsia="宋体" w:hAnsi="宋体" w:cs="宋体"/>
            <w:sz w:val="27"/>
            <w:szCs w:val="27"/>
            <w:lang w:val="en-US" w:eastAsia="zh-CN" w:bidi="ar-SA"/>
          </w:rPr>
          <w:t>中华人民共和国民事</w:t>
        </w:r>
        <w:r>
          <w:rPr>
            <w:rStyle w:val="fulltext-wrapfulltexta"/>
            <w:rFonts w:ascii="宋体" w:eastAsia="宋体" w:hAnsi="宋体" w:cs="宋体"/>
            <w:sz w:val="27"/>
            <w:szCs w:val="27"/>
            <w:lang w:val="en-US" w:eastAsia="zh-CN" w:bidi="ar-SA"/>
          </w:rPr>
          <w:t>诉讼法</w:t>
        </w:r>
      </w:hyperlink>
      <w:r>
        <w:rPr>
          <w:rFonts w:ascii="宋体" w:eastAsia="宋体" w:hAnsi="宋体" w:cs="宋体"/>
          <w:color w:val="000000"/>
          <w:sz w:val="27"/>
          <w:szCs w:val="27"/>
          <w:lang w:val="en-US" w:eastAsia="zh-CN" w:bidi="ar-SA"/>
        </w:rPr>
        <w:t>》第</w:t>
      </w:r>
      <w:hyperlink r:id="rId20"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一、被告汤浚于本判决生效之日起十日内给付原告张圣仓借款本金</w:t>
      </w:r>
      <w:r>
        <w:rPr>
          <w:rFonts w:ascii="宋体" w:eastAsia="宋体" w:hAnsi="宋体" w:cs="宋体"/>
          <w:color w:val="000000"/>
          <w:sz w:val="27"/>
          <w:szCs w:val="27"/>
          <w:lang w:val="en-US" w:eastAsia="zh-CN" w:bidi="ar-SA"/>
        </w:rPr>
        <w:t>95600</w:t>
      </w:r>
      <w:r>
        <w:rPr>
          <w:rFonts w:ascii="宋体" w:eastAsia="宋体" w:hAnsi="宋体" w:cs="宋体"/>
          <w:color w:val="000000"/>
          <w:sz w:val="27"/>
          <w:szCs w:val="27"/>
          <w:lang w:val="en-US" w:eastAsia="zh-CN" w:bidi="ar-SA"/>
        </w:rPr>
        <w:t>元及利息（以本金</w:t>
      </w:r>
      <w:r>
        <w:rPr>
          <w:rFonts w:ascii="宋体" w:eastAsia="宋体" w:hAnsi="宋体" w:cs="宋体"/>
          <w:color w:val="000000"/>
          <w:sz w:val="27"/>
          <w:szCs w:val="27"/>
          <w:lang w:val="en-US" w:eastAsia="zh-CN" w:bidi="ar-SA"/>
        </w:rPr>
        <w:t>95600</w:t>
      </w:r>
      <w:r>
        <w:rPr>
          <w:rFonts w:ascii="宋体" w:eastAsia="宋体" w:hAnsi="宋体" w:cs="宋体"/>
          <w:color w:val="000000"/>
          <w:sz w:val="27"/>
          <w:szCs w:val="27"/>
          <w:lang w:val="en-US" w:eastAsia="zh-CN" w:bidi="ar-SA"/>
        </w:rPr>
        <w:t>元为基数，自</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29</w:t>
      </w:r>
      <w:r>
        <w:rPr>
          <w:rFonts w:ascii="宋体" w:eastAsia="宋体" w:hAnsi="宋体" w:cs="宋体"/>
          <w:color w:val="000000"/>
          <w:sz w:val="27"/>
          <w:szCs w:val="27"/>
          <w:lang w:val="en-US" w:eastAsia="zh-CN" w:bidi="ar-SA"/>
        </w:rPr>
        <w:t>日起，按中国人民银行同期贷款基准利率</w:t>
      </w:r>
      <w:r>
        <w:rPr>
          <w:rFonts w:ascii="宋体" w:eastAsia="宋体" w:hAnsi="宋体" w:cs="宋体"/>
          <w:color w:val="000000"/>
          <w:sz w:val="27"/>
          <w:szCs w:val="27"/>
          <w:lang w:val="en-US" w:eastAsia="zh-CN" w:bidi="ar-SA"/>
        </w:rPr>
        <w:t>6.00%</w:t>
      </w:r>
      <w:r>
        <w:rPr>
          <w:rFonts w:ascii="宋体" w:eastAsia="宋体" w:hAnsi="宋体" w:cs="宋体"/>
          <w:color w:val="000000"/>
          <w:sz w:val="27"/>
          <w:szCs w:val="27"/>
          <w:lang w:val="en-US" w:eastAsia="zh-CN" w:bidi="ar-SA"/>
        </w:rPr>
        <w:t>计算至判决确定的履行期限届满之日止）；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二、被告王恒对前款债务承担连带清偿责任；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三、</w:t>
      </w:r>
      <w:r>
        <w:rPr>
          <w:rFonts w:ascii="宋体" w:eastAsia="宋体" w:hAnsi="宋体" w:cs="宋体"/>
          <w:color w:val="000000"/>
          <w:sz w:val="27"/>
          <w:szCs w:val="27"/>
          <w:lang w:val="en-US" w:eastAsia="zh-CN" w:bidi="ar-SA"/>
        </w:rPr>
        <w:t>驳回原告张圣仓的其他诉讼请求。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如果未按本判决指定的期间履行给付金钱义务，应当依照《</w:t>
      </w:r>
      <w:hyperlink r:id="rId21"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22"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规定，加倍支付迟延履行期间的</w:t>
      </w:r>
      <w:r>
        <w:rPr>
          <w:rFonts w:ascii="宋体" w:eastAsia="宋体" w:hAnsi="宋体" w:cs="宋体"/>
          <w:color w:val="000000"/>
          <w:sz w:val="27"/>
          <w:szCs w:val="27"/>
          <w:lang w:val="en-US" w:eastAsia="zh-CN" w:bidi="ar-SA"/>
        </w:rPr>
        <w:t>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2690</w:t>
      </w:r>
      <w:r>
        <w:rPr>
          <w:rFonts w:ascii="宋体" w:eastAsia="宋体" w:hAnsi="宋体" w:cs="宋体"/>
          <w:color w:val="000000"/>
          <w:sz w:val="27"/>
          <w:szCs w:val="27"/>
          <w:lang w:val="en-US" w:eastAsia="zh-CN" w:bidi="ar-SA"/>
        </w:rPr>
        <w:t>元减半收取</w:t>
      </w:r>
      <w:r>
        <w:rPr>
          <w:rFonts w:ascii="宋体" w:eastAsia="宋体" w:hAnsi="宋体" w:cs="宋体"/>
          <w:color w:val="000000"/>
          <w:sz w:val="27"/>
          <w:szCs w:val="27"/>
          <w:lang w:val="en-US" w:eastAsia="zh-CN" w:bidi="ar-SA"/>
        </w:rPr>
        <w:t>1345</w:t>
      </w:r>
      <w:r>
        <w:rPr>
          <w:rFonts w:ascii="宋体" w:eastAsia="宋体" w:hAnsi="宋体" w:cs="宋体"/>
          <w:color w:val="000000"/>
          <w:sz w:val="27"/>
          <w:szCs w:val="27"/>
          <w:lang w:val="en-US" w:eastAsia="zh-CN" w:bidi="ar-SA"/>
        </w:rPr>
        <w:t>元，由被告汤浚、王恒负担。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3E71F416" w14:textId="77777777" w:rsidR="00000000" w:rsidRDefault="002E17DF">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审判员　　张之悦</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二〇一四年四月二十二日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书记员　　罗晓洁</w:t>
      </w:r>
    </w:p>
    <w:p w14:paraId="34ADD213" w14:textId="77777777" w:rsidR="00000000" w:rsidRDefault="002E17DF">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附：法律文书</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3"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第九十条合法的借</w:t>
      </w:r>
      <w:r>
        <w:rPr>
          <w:rFonts w:ascii="宋体" w:eastAsia="宋体" w:hAnsi="宋体" w:cs="宋体"/>
          <w:color w:val="000000"/>
          <w:sz w:val="27"/>
          <w:szCs w:val="27"/>
          <w:lang w:val="en-US" w:eastAsia="zh-CN" w:bidi="ar-SA"/>
        </w:rPr>
        <w:t>贷关系受法律保护。</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4"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第二百一十一条第一款自然人之间的借款合同对支付的利息没有约定或者约定不明确的，视为不支付利息。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5" w:history="1">
        <w:r>
          <w:rPr>
            <w:rStyle w:val="fulltext-wrapfulltexta"/>
            <w:rFonts w:ascii="宋体" w:eastAsia="宋体" w:hAnsi="宋体" w:cs="宋体"/>
            <w:sz w:val="27"/>
            <w:szCs w:val="27"/>
            <w:lang w:val="en-US" w:eastAsia="zh-CN" w:bidi="ar-SA"/>
          </w:rPr>
          <w:t>中华人民共和国担保法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第十九条当事人对保证方式没有约定或者约定不明确的，按照连带责任保证承担保证责任。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第二十一条保证担保的范围包括主债权及利息、违约金、损害赔偿金和实现债权的费用。保证合同另有约定的，按照约定。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当事人对保证担保的范围没有约定或者约定不明确的，保证人应当对全部债务承担责任。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最高人民法院《</w:t>
      </w:r>
      <w:hyperlink r:id="rId26" w:history="1">
        <w:r>
          <w:rPr>
            <w:rStyle w:val="fulltext-wrapfulltexta"/>
            <w:rFonts w:ascii="宋体" w:eastAsia="宋体" w:hAnsi="宋体" w:cs="宋体"/>
            <w:sz w:val="27"/>
            <w:szCs w:val="27"/>
            <w:lang w:val="en-US" w:eastAsia="zh-CN" w:bidi="ar-SA"/>
          </w:rPr>
          <w:t>关于人民法院审理借贷案件的若干意见</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第九条公民之间的定期无息借贷，出借人要求借款人偿付逾期利息，或者不定期无息借贷经催告不还，出借人要求偿付催告后利息的，可参照银行同类贷款的利率计息。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7"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w:t>
      </w:r>
      <w:r>
        <w:rPr>
          <w:rFonts w:ascii="宋体" w:eastAsia="宋体" w:hAnsi="宋体" w:cs="宋体"/>
          <w:color w:val="000000"/>
          <w:sz w:val="27"/>
          <w:szCs w:val="27"/>
          <w:lang w:val="en-US" w:eastAsia="zh-CN" w:bidi="ar-SA"/>
        </w:rPr>
        <w:t>无正当理由拒不到庭的，或者未经法庭许可中途退庭的，可以缺席判决。</w:t>
      </w:r>
      <w:r>
        <w:rPr>
          <w:rFonts w:ascii="宋体" w:eastAsia="宋体" w:hAnsi="宋体" w:cs="宋体"/>
          <w:color w:val="000000"/>
          <w:sz w:val="27"/>
          <w:szCs w:val="27"/>
          <w:lang w:val="en-US" w:eastAsia="zh-CN" w:bidi="ar-SA"/>
        </w:rPr>
        <w:t xml:space="preserve"> </w:t>
      </w:r>
    </w:p>
    <w:p w14:paraId="0B60F3D4" w14:textId="77777777" w:rsidR="00000000" w:rsidRDefault="002E17DF">
      <w:pPr>
        <w:ind w:left="375" w:right="375"/>
        <w:rPr>
          <w:rFonts w:ascii="Arial" w:eastAsia="Arial" w:hAnsi="Arial" w:cs="Arial"/>
          <w:lang w:val="en-US" w:eastAsia="zh-CN" w:bidi="ar-SA"/>
        </w:rPr>
      </w:pPr>
      <w:r>
        <w:rPr>
          <w:rFonts w:ascii="Arial" w:eastAsia="Arial" w:hAnsi="Arial" w:cs="Arial"/>
          <w:lang w:val="en-US" w:eastAsia="zh-CN" w:bidi="ar-SA"/>
        </w:rPr>
        <w:br/>
      </w:r>
    </w:p>
    <w:p w14:paraId="2176C616" w14:textId="77777777" w:rsidR="00000000" w:rsidRDefault="00A77B3E">
      <w:pPr>
        <w:spacing w:line="630" w:lineRule="atLeast"/>
        <w:rPr>
          <w:rFonts w:eastAsia="Times New Roman"/>
          <w:sz w:val="26"/>
          <w:szCs w:val="26"/>
          <w:lang w:val="en-US" w:eastAsia="zh-CN" w:bidi="ar-SA"/>
        </w:rPr>
      </w:pPr>
      <w:r>
        <w:br w:type="page"/>
      </w:r>
      <w:r w:rsidR="002E17DF">
        <w:rPr>
          <w:rFonts w:eastAsia="Times New Roman"/>
          <w:sz w:val="26"/>
          <w:szCs w:val="26"/>
          <w:lang w:val="en-US" w:eastAsia="zh-CN" w:bidi="ar-SA"/>
        </w:rPr>
        <w:t>©北大法宝：（</w:t>
      </w:r>
      <w:hyperlink r:id="rId28" w:history="1">
        <w:r w:rsidR="002E17DF">
          <w:rPr>
            <w:rFonts w:eastAsia="Times New Roman"/>
            <w:color w:val="218FC4"/>
            <w:sz w:val="26"/>
            <w:szCs w:val="26"/>
            <w:u w:val="single" w:color="218FC4"/>
            <w:lang w:val="en-US" w:eastAsia="zh-CN" w:bidi="ar-SA"/>
          </w:rPr>
          <w:t>www.pkulaw.com</w:t>
        </w:r>
      </w:hyperlink>
      <w:r w:rsidR="002E17DF">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9" w:tgtFrame="_blank" w:history="1">
        <w:r w:rsidR="002E17DF">
          <w:rPr>
            <w:rFonts w:eastAsia="Times New Roman"/>
            <w:color w:val="218FC4"/>
            <w:sz w:val="26"/>
            <w:szCs w:val="26"/>
            <w:u w:val="single" w:color="218FC4"/>
            <w:lang w:val="en-US" w:eastAsia="zh-CN" w:bidi="ar-SA"/>
          </w:rPr>
          <w:t>产品和服务</w:t>
        </w:r>
      </w:hyperlink>
      <w:r w:rsidR="002E17DF">
        <w:rPr>
          <w:rFonts w:eastAsia="Times New Roman"/>
          <w:sz w:val="26"/>
          <w:szCs w:val="26"/>
          <w:lang w:val="en-US" w:eastAsia="zh-CN" w:bidi="ar-SA"/>
        </w:rPr>
        <w:t>。</w:t>
      </w:r>
      <w:r w:rsidR="002E17DF">
        <w:rPr>
          <w:rFonts w:eastAsia="Times New Roman"/>
          <w:sz w:val="26"/>
          <w:szCs w:val="26"/>
          <w:lang w:val="en-US" w:eastAsia="zh-CN" w:bidi="ar-SA"/>
        </w:rPr>
        <w:br/>
      </w:r>
      <w:hyperlink r:id="rId30" w:tgtFrame="_blank" w:history="1">
        <w:r w:rsidR="002E17DF">
          <w:rPr>
            <w:rFonts w:eastAsia="Times New Roman"/>
            <w:color w:val="218FC4"/>
            <w:sz w:val="26"/>
            <w:szCs w:val="26"/>
            <w:u w:val="single" w:color="218FC4"/>
            <w:lang w:val="en-US" w:eastAsia="zh-CN" w:bidi="ar-SA"/>
          </w:rPr>
          <w:t>法宝快讯： 如何快速找到您需要的检索结果？ 法宝 V6 有何新特色？</w:t>
        </w:r>
      </w:hyperlink>
    </w:p>
    <w:p w14:paraId="649A0B10" w14:textId="77777777" w:rsidR="00000000" w:rsidRDefault="002E17DF">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31" o:title=""/>
          </v:shape>
        </w:pict>
      </w:r>
    </w:p>
    <w:p w14:paraId="04A75330" w14:textId="77777777" w:rsidR="00000000" w:rsidRDefault="002E17DF">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222EFAE8" w14:textId="77777777" w:rsidR="00000000" w:rsidRDefault="002E17DF">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32" w:tgtFrame="_blank" w:history="1">
        <w:r>
          <w:rPr>
            <w:rFonts w:eastAsia="Times New Roman"/>
            <w:color w:val="000000"/>
            <w:sz w:val="26"/>
            <w:szCs w:val="26"/>
            <w:u w:val="single" w:color="000000"/>
            <w:lang w:val="en-US" w:eastAsia="zh-CN" w:bidi="ar-SA"/>
          </w:rPr>
          <w:t>https://www.pkulaw.com/pfnl/a25051f3312b07f3c353cd9404</w:t>
        </w:r>
        <w:r>
          <w:rPr>
            <w:rFonts w:eastAsia="Times New Roman"/>
            <w:color w:val="000000"/>
            <w:sz w:val="26"/>
            <w:szCs w:val="26"/>
            <w:u w:val="single" w:color="000000"/>
            <w:lang w:val="en-US" w:eastAsia="zh-CN" w:bidi="ar-SA"/>
          </w:rPr>
          <w:t xml:space="preserve">6e713875b7f8e50a730b03bdfb.html </w:t>
        </w:r>
      </w:hyperlink>
    </w:p>
    <w:p w14:paraId="7F5C5F08" w14:textId="77777777" w:rsidR="00A77B3E" w:rsidRDefault="00A77B3E"/>
    <w:sectPr w:rsidR="00A77B3E">
      <w:headerReference w:type="default" r:id="rId33"/>
      <w:footerReference w:type="default" r:id="rId34"/>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D8F84" w14:textId="77777777" w:rsidR="00000000" w:rsidRDefault="002E17DF">
      <w:r>
        <w:separator/>
      </w:r>
    </w:p>
  </w:endnote>
  <w:endnote w:type="continuationSeparator" w:id="0">
    <w:p w14:paraId="7EBBDE2E" w14:textId="77777777" w:rsidR="00000000" w:rsidRDefault="002E1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663D77FD" w14:textId="77777777">
      <w:trPr>
        <w:tblCellSpacing w:w="15" w:type="dxa"/>
      </w:trPr>
      <w:tc>
        <w:tcPr>
          <w:tcW w:w="1530" w:type="dxa"/>
          <w:tcMar>
            <w:top w:w="15" w:type="dxa"/>
            <w:left w:w="15" w:type="dxa"/>
            <w:bottom w:w="15" w:type="dxa"/>
            <w:right w:w="15" w:type="dxa"/>
          </w:tcMar>
          <w:vAlign w:val="center"/>
          <w:hideMark/>
        </w:tcPr>
        <w:p w14:paraId="559C96ED" w14:textId="77777777" w:rsidR="00000000" w:rsidRDefault="002E17DF">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7356DBDC" w14:textId="77777777" w:rsidR="00000000" w:rsidRDefault="002E17DF">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5F31027E" w14:textId="77777777" w:rsidR="00000000" w:rsidRDefault="002E17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6C46C" w14:textId="77777777" w:rsidR="00000000" w:rsidRDefault="002E17DF">
      <w:r>
        <w:separator/>
      </w:r>
    </w:p>
  </w:footnote>
  <w:footnote w:type="continuationSeparator" w:id="0">
    <w:p w14:paraId="782EF5B7" w14:textId="77777777" w:rsidR="00000000" w:rsidRDefault="002E17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945"/>
      <w:gridCol w:w="5611"/>
    </w:tblGrid>
    <w:tr w:rsidR="00000000" w14:paraId="36B92562" w14:textId="77777777">
      <w:trPr>
        <w:tblCellSpacing w:w="15" w:type="dxa"/>
      </w:trPr>
      <w:tc>
        <w:tcPr>
          <w:tcW w:w="0" w:type="auto"/>
          <w:tcMar>
            <w:top w:w="15" w:type="dxa"/>
            <w:left w:w="15" w:type="dxa"/>
            <w:bottom w:w="15" w:type="dxa"/>
            <w:right w:w="15" w:type="dxa"/>
          </w:tcMar>
          <w:vAlign w:val="center"/>
          <w:hideMark/>
        </w:tcPr>
        <w:p w14:paraId="3D6690C9" w14:textId="77777777" w:rsidR="00000000" w:rsidRDefault="002E17DF">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22CD3D66" w14:textId="77777777" w:rsidR="00000000" w:rsidRDefault="002E17DF">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CLI.C.5290129</w:t>
          </w:r>
        </w:p>
      </w:tc>
    </w:tr>
  </w:tbl>
  <w:p w14:paraId="77DBE455" w14:textId="77777777" w:rsidR="00000000" w:rsidRDefault="002E17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2E17DF"/>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4079C5"/>
  <w15:chartTrackingRefBased/>
  <w15:docId w15:val="{A2EE737A-3EFC-41AD-9BF0-D0BDABBDC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2E17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E17DF"/>
    <w:rPr>
      <w:sz w:val="18"/>
      <w:szCs w:val="18"/>
    </w:rPr>
  </w:style>
  <w:style w:type="paragraph" w:styleId="a5">
    <w:name w:val="footer"/>
    <w:basedOn w:val="a"/>
    <w:link w:val="a6"/>
    <w:rsid w:val="002E17DF"/>
    <w:pPr>
      <w:tabs>
        <w:tab w:val="center" w:pos="4153"/>
        <w:tab w:val="right" w:pos="8306"/>
      </w:tabs>
      <w:snapToGrid w:val="0"/>
    </w:pPr>
    <w:rPr>
      <w:sz w:val="18"/>
      <w:szCs w:val="18"/>
    </w:rPr>
  </w:style>
  <w:style w:type="character" w:customStyle="1" w:styleId="a6">
    <w:name w:val="页脚 字符"/>
    <w:basedOn w:val="a0"/>
    <w:link w:val="a5"/>
    <w:rsid w:val="002E17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pkulaw.com/chl/2367b1767194112cbdfb.html?way=textSlc" TargetMode="External"/><Relationship Id="rId18" Type="http://schemas.openxmlformats.org/officeDocument/2006/relationships/hyperlink" Target="https://www.pkulaw.com/chl/153a2a2d29d7134ebdfb.html?way=textSlc" TargetMode="External"/><Relationship Id="rId26" Type="http://schemas.openxmlformats.org/officeDocument/2006/relationships/hyperlink" Target="https://www.pkulaw.com/chl/153a2a2d29d7134ebdfb.html?way=textSlc" TargetMode="External"/><Relationship Id="rId3" Type="http://schemas.openxmlformats.org/officeDocument/2006/relationships/settings" Target="settings.xml"/><Relationship Id="rId21" Type="http://schemas.openxmlformats.org/officeDocument/2006/relationships/hyperlink" Target="https://www.pkulaw.com/chl/68957aaf4c3a793dbdfb.html?way=textSlc" TargetMode="External"/><Relationship Id="rId34" Type="http://schemas.openxmlformats.org/officeDocument/2006/relationships/footer" Target="footer1.xml"/><Relationship Id="rId7" Type="http://schemas.openxmlformats.org/officeDocument/2006/relationships/hyperlink" Target="javascript:LawFirmSearch('&#19978;&#28023;&#22825;&#34893;&#31166;&#24459;&#24072;&#20107;&#21153;&#25152;')" TargetMode="External"/><Relationship Id="rId12" Type="http://schemas.openxmlformats.org/officeDocument/2006/relationships/hyperlink" Target="https://www.pkulaw.com/chl/2367b1767194112cbdfb.html?way=textSlc" TargetMode="External"/><Relationship Id="rId17" Type="http://schemas.openxmlformats.org/officeDocument/2006/relationships/hyperlink" Target="https://www.pkulaw.com/chl/9be45428dc2a2777bdfb.html?way=textSlc" TargetMode="External"/><Relationship Id="rId25" Type="http://schemas.openxmlformats.org/officeDocument/2006/relationships/hyperlink" Target="https://www.pkulaw.com/chl/9be45428dc2a2777bdfb.html?way=textSlc"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pkulaw.com/chl/9be45428dc2a2777bdfb.html?way=textSlc" TargetMode="External"/><Relationship Id="rId20" Type="http://schemas.openxmlformats.org/officeDocument/2006/relationships/hyperlink" Target="https://www.pkulaw.com/chl/68957aaf4c3a793dbdfb.html?way=textSlc" TargetMode="External"/><Relationship Id="rId29" Type="http://schemas.openxmlformats.org/officeDocument/2006/relationships/hyperlink" Target="http://www.pkulaw.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hyperlink" Target="https://www.pkulaw.com/chl/2367b1767194112cbdfb.html?way=textSlc" TargetMode="External"/><Relationship Id="rId32" Type="http://schemas.openxmlformats.org/officeDocument/2006/relationships/hyperlink" Target="https://www.pkulaw.com/pfnl/a25051f3312b07f3c353cd94046e713875b7f8e50a730b03bdfb.html" TargetMode="External"/><Relationship Id="rId5" Type="http://schemas.openxmlformats.org/officeDocument/2006/relationships/footnotes" Target="footnotes.xml"/><Relationship Id="rId15" Type="http://schemas.openxmlformats.org/officeDocument/2006/relationships/hyperlink" Target="https://www.pkulaw.com/chl/9be45428dc2a2777bdfb.html?way=textSlc" TargetMode="External"/><Relationship Id="rId23" Type="http://schemas.openxmlformats.org/officeDocument/2006/relationships/hyperlink" Target="https://www.pkulaw.com/chl/27f092abe1cd5ab4bdfb.html?way=textSlc" TargetMode="External"/><Relationship Id="rId28" Type="http://schemas.openxmlformats.org/officeDocument/2006/relationships/hyperlink" Target="https://www.pkulaw.com" TargetMode="External"/><Relationship Id="rId36" Type="http://schemas.openxmlformats.org/officeDocument/2006/relationships/theme" Target="theme/theme1.xml"/><Relationship Id="rId10" Type="http://schemas.openxmlformats.org/officeDocument/2006/relationships/hyperlink" Target="https://www.pkulaw.com/chl/27f092abe1cd5ab4bdfb.html?way=textSlc" TargetMode="External"/><Relationship Id="rId19" Type="http://schemas.openxmlformats.org/officeDocument/2006/relationships/hyperlink" Target="https://www.pkulaw.com/chl/68957aaf4c3a793dbdfb.html?way=textSlc"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pkulaw.com/chl/27f092abe1cd5ab4bdfb.html?way=textSlc" TargetMode="External"/><Relationship Id="rId14" Type="http://schemas.openxmlformats.org/officeDocument/2006/relationships/hyperlink" Target="https://www.pkulaw.com/chl/2367b1767194112cbdfb.html?way=textSlc" TargetMode="External"/><Relationship Id="rId22" Type="http://schemas.openxmlformats.org/officeDocument/2006/relationships/hyperlink" Target="https://www.pkulaw.com/chl/68957aaf4c3a793dbdfb.html?way=textSlc" TargetMode="External"/><Relationship Id="rId27" Type="http://schemas.openxmlformats.org/officeDocument/2006/relationships/hyperlink" Target="https://www.pkulaw.com/chl/68957aaf4c3a793dbdfb.html?way=textSlc" TargetMode="External"/><Relationship Id="rId30" Type="http://schemas.openxmlformats.org/officeDocument/2006/relationships/hyperlink" Target="http://www.pkulaw.com/helps/69.html" TargetMode="External"/><Relationship Id="rId35" Type="http://schemas.openxmlformats.org/officeDocument/2006/relationships/fontTable" Target="fontTable.xml"/><Relationship Id="rId8" Type="http://schemas.openxmlformats.org/officeDocument/2006/relationships/hyperlink" Target="https://www.pkulaw.com/chl/9be45428dc2a2777bdfb.html?way=textSl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2024-05-11T15:45:00Z</dcterms:created>
  <dcterms:modified xsi:type="dcterms:W3CDTF">2024-05-11T15:45:00Z</dcterms:modified>
</cp:coreProperties>
</file>