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C3FE" w14:textId="77777777" w:rsidR="00000000" w:rsidRDefault="00AB00E5">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姚建良与杜亮亮民间借贷纠纷一审民事判决书</w:t>
      </w:r>
    </w:p>
    <w:p w14:paraId="658CA756" w14:textId="77777777" w:rsidR="00000000" w:rsidRDefault="00AB00E5">
      <w:pPr>
        <w:ind w:left="375" w:right="375"/>
        <w:rPr>
          <w:rFonts w:ascii="Arial" w:eastAsia="Arial" w:hAnsi="Arial" w:cs="Arial"/>
          <w:lang w:val="en-US" w:eastAsia="zh-CN" w:bidi="ar-SA"/>
        </w:rPr>
      </w:pPr>
      <w:r>
        <w:rPr>
          <w:rFonts w:ascii="Arial" w:eastAsia="Arial" w:hAnsi="Arial" w:cs="Arial"/>
          <w:lang w:val="en-US" w:eastAsia="zh-CN" w:bidi="ar-SA"/>
        </w:rPr>
        <w:br/>
      </w:r>
    </w:p>
    <w:p w14:paraId="5FFC73B2" w14:textId="77777777" w:rsidR="00000000" w:rsidRDefault="00AB00E5">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姚建良与杜亮亮民间借贷纠纷一审民事判决书</w:t>
      </w:r>
    </w:p>
    <w:p w14:paraId="72EF4B41" w14:textId="77777777" w:rsidR="00000000" w:rsidRDefault="00AB00E5">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6126E36A" w14:textId="77777777" w:rsidR="00000000" w:rsidRDefault="00AB00E5">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皖</w:t>
      </w:r>
      <w:r>
        <w:rPr>
          <w:rFonts w:ascii="宋体" w:eastAsia="宋体" w:hAnsi="宋体" w:cs="宋体"/>
          <w:color w:val="000000"/>
          <w:sz w:val="27"/>
          <w:szCs w:val="27"/>
          <w:lang w:val="en-US" w:eastAsia="zh-CN" w:bidi="ar-SA"/>
        </w:rPr>
        <w:t>0111</w:t>
      </w:r>
      <w:r>
        <w:rPr>
          <w:rFonts w:ascii="宋体" w:eastAsia="宋体" w:hAnsi="宋体" w:cs="宋体"/>
          <w:color w:val="000000"/>
          <w:sz w:val="27"/>
          <w:szCs w:val="27"/>
          <w:lang w:val="en-US" w:eastAsia="zh-CN" w:bidi="ar-SA"/>
        </w:rPr>
        <w:t>民初</w:t>
      </w:r>
      <w:r>
        <w:rPr>
          <w:rFonts w:ascii="宋体" w:eastAsia="宋体" w:hAnsi="宋体" w:cs="宋体"/>
          <w:color w:val="000000"/>
          <w:sz w:val="27"/>
          <w:szCs w:val="27"/>
          <w:lang w:val="en-US" w:eastAsia="zh-CN" w:bidi="ar-SA"/>
        </w:rPr>
        <w:t>6643</w:t>
      </w:r>
      <w:r>
        <w:rPr>
          <w:rFonts w:ascii="宋体" w:eastAsia="宋体" w:hAnsi="宋体" w:cs="宋体"/>
          <w:color w:val="000000"/>
          <w:sz w:val="27"/>
          <w:szCs w:val="27"/>
          <w:lang w:val="en-US" w:eastAsia="zh-CN" w:bidi="ar-SA"/>
        </w:rPr>
        <w:t>号</w:t>
      </w:r>
    </w:p>
    <w:p w14:paraId="2BEF3B71" w14:textId="77777777" w:rsidR="00000000" w:rsidRDefault="00AB00E5">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原告：姚建良。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委托代理人：宋文舟，</w:t>
      </w:r>
      <w:hyperlink r:id="rId7" w:history="1">
        <w:r>
          <w:rPr>
            <w:rStyle w:val="fulltext-wrapfulltexta"/>
            <w:rFonts w:ascii="宋体" w:eastAsia="宋体" w:hAnsi="宋体" w:cs="宋体"/>
            <w:sz w:val="27"/>
            <w:szCs w:val="27"/>
            <w:lang w:val="en-US" w:eastAsia="zh-CN" w:bidi="ar-SA"/>
          </w:rPr>
          <w:t>上海明伦律师事务所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委托代理人：项潇，</w:t>
      </w:r>
      <w:hyperlink r:id="rId8" w:history="1">
        <w:r>
          <w:rPr>
            <w:rStyle w:val="fulltext-wrapfulltexta"/>
            <w:rFonts w:ascii="宋体" w:eastAsia="宋体" w:hAnsi="宋体" w:cs="宋体"/>
            <w:sz w:val="27"/>
            <w:szCs w:val="27"/>
            <w:lang w:val="en-US" w:eastAsia="zh-CN" w:bidi="ar-SA"/>
          </w:rPr>
          <w:t>上海明伦律师事务所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被告：杜亮亮。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原告姚建良诉被告杜亮亮民间借贷纠纷一案，本院于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日立案后，依法适用普通程序公开开庭进行了审理。原告姚建良的委托代理人项潇到庭参加诉讼。被告杜亮亮经公告送达开庭传票，未到庭参加诉讼。本案现已审理终结。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原告姚建良向本院提出诉讼请求：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判令被告立即归还原告借款尚欠本金</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元（月本金：</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=2425.50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月；已还本金：</w:t>
      </w:r>
      <w:r>
        <w:rPr>
          <w:rFonts w:ascii="宋体" w:eastAsia="宋体" w:hAnsi="宋体" w:cs="宋体"/>
          <w:color w:val="000000"/>
          <w:sz w:val="27"/>
          <w:szCs w:val="27"/>
          <w:lang w:val="en-US" w:eastAsia="zh-CN" w:bidi="ar-SA"/>
        </w:rPr>
        <w:t>2425.50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×0</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=0.00</w:t>
      </w:r>
      <w:r>
        <w:rPr>
          <w:rFonts w:ascii="宋体" w:eastAsia="宋体" w:hAnsi="宋体" w:cs="宋体"/>
          <w:color w:val="000000"/>
          <w:sz w:val="27"/>
          <w:szCs w:val="27"/>
          <w:lang w:val="en-US" w:eastAsia="zh-CN" w:bidi="ar-SA"/>
        </w:rPr>
        <w:t>元；尚欠本金：</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=58211.</w:t>
      </w:r>
      <w:r>
        <w:rPr>
          <w:rFonts w:ascii="宋体" w:eastAsia="宋体" w:hAnsi="宋体" w:cs="宋体"/>
          <w:color w:val="000000"/>
          <w:sz w:val="27"/>
          <w:szCs w:val="27"/>
          <w:lang w:val="en-US" w:eastAsia="zh-CN" w:bidi="ar-SA"/>
        </w:rPr>
        <w:t>89</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判令被告支付原告逾期利息、违约金、罚息（计算标准：以未还款本金额</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元为基数，按照年利率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计算，自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日开始，至实际还款日止。截止起诉日为</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年息</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=33762.90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本案诉讼费由被告承担。事实和理由：</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日，被告因扩大经营需要，向原告借款</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元，原告银行转账出借</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元，其余现金出借，</w:t>
      </w:r>
      <w:r>
        <w:rPr>
          <w:rFonts w:ascii="宋体" w:eastAsia="宋体" w:hAnsi="宋体" w:cs="宋体"/>
          <w:color w:val="000000"/>
          <w:sz w:val="27"/>
          <w:szCs w:val="27"/>
          <w:lang w:val="en-US" w:eastAsia="zh-CN" w:bidi="ar-SA"/>
        </w:rPr>
        <w:lastRenderedPageBreak/>
        <w:t>借款期限为</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个月，月还款本息总和为</w:t>
      </w:r>
      <w:r>
        <w:rPr>
          <w:rFonts w:ascii="宋体" w:eastAsia="宋体" w:hAnsi="宋体" w:cs="宋体"/>
          <w:color w:val="000000"/>
          <w:sz w:val="27"/>
          <w:szCs w:val="27"/>
          <w:lang w:val="en-US" w:eastAsia="zh-CN" w:bidi="ar-SA"/>
        </w:rPr>
        <w:t>2678.67</w:t>
      </w:r>
      <w:r>
        <w:rPr>
          <w:rFonts w:ascii="宋体" w:eastAsia="宋体" w:hAnsi="宋体" w:cs="宋体"/>
          <w:color w:val="000000"/>
          <w:sz w:val="27"/>
          <w:szCs w:val="27"/>
          <w:lang w:val="en-US" w:eastAsia="zh-CN" w:bidi="ar-SA"/>
        </w:rPr>
        <w:t>元，双方签订了书面《借款协议》。后被告并未按期还款</w:t>
      </w:r>
      <w:r>
        <w:rPr>
          <w:rFonts w:ascii="宋体" w:eastAsia="宋体" w:hAnsi="宋体" w:cs="宋体"/>
          <w:color w:val="000000"/>
          <w:sz w:val="27"/>
          <w:szCs w:val="27"/>
          <w:lang w:val="en-US" w:eastAsia="zh-CN" w:bidi="ar-SA"/>
        </w:rPr>
        <w:t>，根据双方的《借款协议》约定，原告可以解除合同，并要求被告支付逾期利息、违约金、罚息等，同时产生争议的由合同签署地合肥市包河区人民法院管辖。双方合同实际签署地为安徽省合肥市包河区。截止今日，被告仍未全额还款，已构成违约，原告特向法院提起诉讼，望判如所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被告杜亮亮未作答辩。</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本院经审理查明案件事实如下：</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日，姚建良与杜亮亮在合肥市包河区份《借款协议》，约定：杜亮亮向姚建良借款</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元，杜亮亮按每月等额本息的方式还款，每月还款</w:t>
      </w:r>
      <w:r>
        <w:rPr>
          <w:rFonts w:ascii="宋体" w:eastAsia="宋体" w:hAnsi="宋体" w:cs="宋体"/>
          <w:color w:val="000000"/>
          <w:sz w:val="27"/>
          <w:szCs w:val="27"/>
          <w:lang w:val="en-US" w:eastAsia="zh-CN" w:bidi="ar-SA"/>
        </w:rPr>
        <w:t>2678.67</w:t>
      </w:r>
      <w:r>
        <w:rPr>
          <w:rFonts w:ascii="宋体" w:eastAsia="宋体" w:hAnsi="宋体" w:cs="宋体"/>
          <w:color w:val="000000"/>
          <w:sz w:val="27"/>
          <w:szCs w:val="27"/>
          <w:lang w:val="en-US" w:eastAsia="zh-CN" w:bidi="ar-SA"/>
        </w:rPr>
        <w:t>元，共还款</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还款起止日期自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日，还款日为</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日，杜亮亮指定名下工行安徽合肥肥东撮镇支行</w:t>
      </w:r>
      <w:r>
        <w:rPr>
          <w:rFonts w:ascii="宋体" w:eastAsia="宋体" w:hAnsi="宋体" w:cs="宋体"/>
          <w:color w:val="000000"/>
          <w:sz w:val="27"/>
          <w:szCs w:val="27"/>
          <w:lang w:val="en-US" w:eastAsia="zh-CN" w:bidi="ar-SA"/>
        </w:rPr>
        <w:t>62×××72</w:t>
      </w:r>
      <w:r>
        <w:rPr>
          <w:rFonts w:ascii="宋体" w:eastAsia="宋体" w:hAnsi="宋体" w:cs="宋体"/>
          <w:color w:val="000000"/>
          <w:sz w:val="27"/>
          <w:szCs w:val="27"/>
          <w:lang w:val="en-US" w:eastAsia="zh-CN" w:bidi="ar-SA"/>
        </w:rPr>
        <w:t>账号为专用账号；如杜亮亮未按时足额还款，则按照当月应还本息的</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支付逾期违约金且不低于</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元，并按每日当月至借款期结束应还本息的</w:t>
      </w:r>
      <w:r>
        <w:rPr>
          <w:rFonts w:ascii="宋体" w:eastAsia="宋体" w:hAnsi="宋体" w:cs="宋体"/>
          <w:color w:val="000000"/>
          <w:sz w:val="27"/>
          <w:szCs w:val="27"/>
          <w:lang w:val="en-US" w:eastAsia="zh-CN" w:bidi="ar-SA"/>
        </w:rPr>
        <w:t>0.05%</w:t>
      </w:r>
      <w:r>
        <w:rPr>
          <w:rFonts w:ascii="宋体" w:eastAsia="宋体" w:hAnsi="宋体" w:cs="宋体"/>
          <w:color w:val="000000"/>
          <w:sz w:val="27"/>
          <w:szCs w:val="27"/>
          <w:lang w:val="en-US" w:eastAsia="zh-CN" w:bidi="ar-SA"/>
        </w:rPr>
        <w:t>收取罚息；如果杜亮亮擅自改变借款用途或逾期</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天以上的，则姚建良有权提前终止本协议；因杜亮亮未还款而带来的调查费、律师费、诉讼费由杜亮亮承担；双方在本协议履行过程中发生纠纷协商不成的，由合同签署地人民法院管辖。当日，被告杜亮亮分别与案外人上海</w:t>
      </w:r>
      <w:r>
        <w:rPr>
          <w:rFonts w:ascii="宋体" w:eastAsia="宋体" w:hAnsi="宋体" w:cs="宋体"/>
          <w:color w:val="000000"/>
          <w:sz w:val="27"/>
          <w:szCs w:val="27"/>
          <w:lang w:val="en-US" w:eastAsia="zh-CN" w:bidi="ar-SA"/>
        </w:rPr>
        <w:t>森昊投资管理有限公司、上海宜惠金融信息服务有限公司和上海积业资产管理有限公司签订了《信用咨询及管理服务协议》，约定：杜亮亮需向上述三公司分别支付咨询费、审核费、服务费，合计</w:t>
      </w:r>
      <w:r>
        <w:rPr>
          <w:rFonts w:ascii="宋体" w:eastAsia="宋体" w:hAnsi="宋体" w:cs="宋体"/>
          <w:color w:val="000000"/>
          <w:sz w:val="27"/>
          <w:szCs w:val="27"/>
          <w:lang w:val="en-US" w:eastAsia="zh-CN" w:bidi="ar-SA"/>
        </w:rPr>
        <w:t>18211.89</w:t>
      </w:r>
      <w:r>
        <w:rPr>
          <w:rFonts w:ascii="宋体" w:eastAsia="宋体" w:hAnsi="宋体" w:cs="宋体"/>
          <w:color w:val="000000"/>
          <w:sz w:val="27"/>
          <w:szCs w:val="27"/>
          <w:lang w:val="en-US" w:eastAsia="zh-CN" w:bidi="ar-SA"/>
        </w:rPr>
        <w:t>元；杜亮亮授权姚建良从借款本金中一次性代为扣除。</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日，姚建良向杜亮亮上述专用账号转账</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元。后杜亮亮未还款。</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另查明：姚建良系案外人上海森昊投资管理有限公司、上海宜惠金融信息服务有限公司和上海积业资产管理有限公司的股东。</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上述事实，有当事人陈述、借款协议、信用咨询及管理服务协议、银行转账记录、信</w:t>
      </w:r>
      <w:r>
        <w:rPr>
          <w:rFonts w:ascii="宋体" w:eastAsia="宋体" w:hAnsi="宋体" w:cs="宋体"/>
          <w:color w:val="000000"/>
          <w:sz w:val="27"/>
          <w:szCs w:val="27"/>
          <w:lang w:val="en-US" w:eastAsia="zh-CN" w:bidi="ar-SA"/>
        </w:rPr>
        <w:t>用咨询及管理服务协议等证据在卷佐证，证据符合法定的真实性、合法性和关联性要求，可以作为定案依据。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本院认为：原、被告签订的借款协议，系双方真实意思表示，内容未违反法律、行政法规的强制性规定，合法有效，双方应受此约束。本案的</w:t>
      </w:r>
      <w:bookmarkStart w:id="6" w:name="anchor-7"/>
      <w:bookmarkEnd w:id="6"/>
      <w:r>
        <w:rPr>
          <w:rFonts w:ascii="宋体" w:eastAsia="宋体" w:hAnsi="宋体" w:cs="宋体"/>
          <w:color w:val="000000"/>
          <w:sz w:val="27"/>
          <w:szCs w:val="27"/>
          <w:lang w:val="en-US" w:eastAsia="zh-CN" w:bidi="ar-SA"/>
        </w:rPr>
        <w:t>争议焦点如下：一是原告向被告实际出借数额。双方签订的《借款协议》约定被告杜亮亮的借款额为</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元，但原告实际向被告支付的借款数额为</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元。原告诉称差额部分由其代被告向上海森昊投资管理有限公司等三公司支付了咨询费、审核费、服务费。本院认为，上述原告诉称其已向上述三</w:t>
      </w:r>
      <w:r>
        <w:rPr>
          <w:rFonts w:ascii="宋体" w:eastAsia="宋体" w:hAnsi="宋体" w:cs="宋体"/>
          <w:color w:val="000000"/>
          <w:sz w:val="27"/>
          <w:szCs w:val="27"/>
          <w:lang w:val="en-US" w:eastAsia="zh-CN" w:bidi="ar-SA"/>
        </w:rPr>
        <w:t>公司支付了咨询费等费用但未能提供转账凭证，且上述费用明显过高，同时原告是上述三公司股东，原告以代扣咨询费等费用的形式扣除费用，不符合法律规定。原告主张实际出借款项为</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元，证据不足，故本院确定原告实际向被告出借的本金为</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二、关于借款利率。因被告未按约还款，已构成违约，应当按照合同约定承担违约金和罚息，因利息、违约金及罚息的合计标准超过了年利率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的规定，超出部分不予保护，逾期按照年利率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计算利息、违约金及罚息。原告主张按照</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的年利率支付之后的利息、违约金及罚息，本院予</w:t>
      </w:r>
      <w:r>
        <w:rPr>
          <w:rFonts w:ascii="宋体" w:eastAsia="宋体" w:hAnsi="宋体" w:cs="宋体"/>
          <w:color w:val="000000"/>
          <w:sz w:val="27"/>
          <w:szCs w:val="27"/>
          <w:lang w:val="en-US" w:eastAsia="zh-CN" w:bidi="ar-SA"/>
        </w:rPr>
        <w:t>以支持。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据此，依据《中华人民共和国合同法》第一百零七条、第二百零五条、第二百零六条，《最高人民法院关于审理民间借贷案件适用法律若干问题的规定》第二十六条，《中华人民共和国民事诉讼法》第一百四十四条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一、被告杜亮亮于本判决生效之日起十日内偿还原告姚建良借款本金</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元及利息、违约金及罚息（利息、违约金及罚息合并计算方式：自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日起按月利率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为标准计算至</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元本金实际付清之日止）；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二、驳回原告姚建良的其他诉讼请求。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被告如果未按本判决指定的期</w:t>
      </w:r>
      <w:r>
        <w:rPr>
          <w:rFonts w:ascii="宋体" w:eastAsia="宋体" w:hAnsi="宋体" w:cs="宋体"/>
          <w:color w:val="000000"/>
          <w:sz w:val="27"/>
          <w:szCs w:val="27"/>
          <w:lang w:val="en-US" w:eastAsia="zh-CN" w:bidi="ar-SA"/>
        </w:rPr>
        <w:t>间履行给付金钱义务，应当依照《中华人民共和国民事诉讼法》第二百五十三条规定，加倍支付迟延履行期间的债务利息。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2010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2810</w:t>
      </w:r>
      <w:r>
        <w:rPr>
          <w:rFonts w:ascii="宋体" w:eastAsia="宋体" w:hAnsi="宋体" w:cs="宋体"/>
          <w:color w:val="000000"/>
          <w:sz w:val="27"/>
          <w:szCs w:val="27"/>
          <w:lang w:val="en-US" w:eastAsia="zh-CN" w:bidi="ar-SA"/>
        </w:rPr>
        <w:t>元，由原告姚建良负担</w:t>
      </w:r>
      <w:r>
        <w:rPr>
          <w:rFonts w:ascii="宋体" w:eastAsia="宋体" w:hAnsi="宋体" w:cs="宋体"/>
          <w:color w:val="000000"/>
          <w:sz w:val="27"/>
          <w:szCs w:val="27"/>
          <w:lang w:val="en-US" w:eastAsia="zh-CN" w:bidi="ar-SA"/>
        </w:rPr>
        <w:t>630</w:t>
      </w:r>
      <w:r>
        <w:rPr>
          <w:rFonts w:ascii="宋体" w:eastAsia="宋体" w:hAnsi="宋体" w:cs="宋体"/>
          <w:color w:val="000000"/>
          <w:sz w:val="27"/>
          <w:szCs w:val="27"/>
          <w:lang w:val="en-US" w:eastAsia="zh-CN" w:bidi="ar-SA"/>
        </w:rPr>
        <w:t>元，被告杜亮亮负担</w:t>
      </w:r>
      <w:r>
        <w:rPr>
          <w:rFonts w:ascii="宋体" w:eastAsia="宋体" w:hAnsi="宋体" w:cs="宋体"/>
          <w:color w:val="000000"/>
          <w:sz w:val="27"/>
          <w:szCs w:val="27"/>
          <w:lang w:val="en-US" w:eastAsia="zh-CN" w:bidi="ar-SA"/>
        </w:rPr>
        <w:t>2180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8"/>
      <w:bookmarkEnd w:id="8"/>
    </w:p>
    <w:p w14:paraId="13C8210A" w14:textId="77777777" w:rsidR="00000000" w:rsidRDefault="00AB00E5">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胡　翠</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朱　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张　瑞</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二〇一七年九月二十日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许凤娇</w:t>
      </w:r>
    </w:p>
    <w:p w14:paraId="7FA83EF1" w14:textId="77777777" w:rsidR="00000000" w:rsidRDefault="00AB00E5">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9"/>
      <w:bookmarkEnd w:id="9"/>
      <w:r>
        <w:rPr>
          <w:rFonts w:ascii="宋体" w:eastAsia="宋体" w:hAnsi="宋体" w:cs="宋体"/>
          <w:color w:val="000000"/>
          <w:sz w:val="27"/>
          <w:szCs w:val="27"/>
          <w:lang w:val="en-US" w:eastAsia="zh-CN" w:bidi="ar-SA"/>
        </w:rPr>
        <w:t>附本案适用的相关法律条文：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《中华人民</w:t>
      </w:r>
      <w:r>
        <w:rPr>
          <w:rFonts w:ascii="宋体" w:eastAsia="宋体" w:hAnsi="宋体" w:cs="宋体"/>
          <w:color w:val="000000"/>
          <w:sz w:val="27"/>
          <w:szCs w:val="27"/>
          <w:lang w:val="en-US" w:eastAsia="zh-CN" w:bidi="ar-SA"/>
        </w:rPr>
        <w:t>共和国合同法》</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w:t>
      </w:r>
      <w:r>
        <w:rPr>
          <w:rFonts w:ascii="宋体" w:eastAsia="宋体" w:hAnsi="宋体" w:cs="宋体"/>
          <w:color w:val="000000"/>
          <w:sz w:val="27"/>
          <w:szCs w:val="27"/>
          <w:lang w:val="en-US" w:eastAsia="zh-CN" w:bidi="ar-SA"/>
        </w:rPr>
        <w:t>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《最高人民法院关于审理民间借贷案件适用法律若干问题的规定》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第二十六条借贷双方约定的利率未超过年利率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，出借人请求借款人按照约定的利率支付利息的，人民法院应予支持。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借贷双方约定的利率超过年利率的</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，超过部分的利息约定无效。借款人请求出借人返还已支付的超过利率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部分的利息的，人民法院应予支持。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《中华人民共和国民事诉讼法》</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附本息计算表</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期间</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借款本金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月利率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应付利息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已付金额</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抵扣本金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尚欠本金</w:t>
      </w:r>
      <w:r>
        <w:rPr>
          <w:rFonts w:ascii="宋体" w:eastAsia="宋体" w:hAnsi="宋体" w:cs="宋体"/>
          <w:color w:val="000000"/>
          <w:sz w:val="27"/>
          <w:szCs w:val="27"/>
          <w:lang w:val="en-US" w:eastAsia="zh-CN" w:bidi="ar-SA"/>
        </w:rPr>
        <w:br/>
        <w:t>2014.2.15</w:t>
      </w:r>
      <w:r>
        <w:rPr>
          <w:rFonts w:ascii="宋体" w:eastAsia="宋体" w:hAnsi="宋体" w:cs="宋体"/>
          <w:color w:val="000000"/>
          <w:sz w:val="27"/>
          <w:szCs w:val="27"/>
          <w:lang w:val="en-US" w:eastAsia="zh-CN" w:bidi="ar-SA"/>
        </w:rPr>
        <w:br/>
        <w:t>40000.00</w:t>
      </w:r>
      <w:r>
        <w:rPr>
          <w:rFonts w:ascii="宋体" w:eastAsia="宋体" w:hAnsi="宋体" w:cs="宋体"/>
          <w:color w:val="000000"/>
          <w:sz w:val="27"/>
          <w:szCs w:val="27"/>
          <w:lang w:val="en-US" w:eastAsia="zh-CN" w:bidi="ar-SA"/>
        </w:rPr>
        <w:br/>
        <w:t>0.03</w:t>
      </w:r>
      <w:r>
        <w:rPr>
          <w:rFonts w:ascii="宋体" w:eastAsia="宋体" w:hAnsi="宋体" w:cs="宋体"/>
          <w:color w:val="000000"/>
          <w:sz w:val="27"/>
          <w:szCs w:val="27"/>
          <w:lang w:val="en-US" w:eastAsia="zh-CN" w:bidi="ar-SA"/>
        </w:rPr>
        <w:br/>
        <w:t>1200.00</w:t>
      </w:r>
      <w:r>
        <w:rPr>
          <w:rFonts w:ascii="宋体" w:eastAsia="宋体" w:hAnsi="宋体" w:cs="宋体"/>
          <w:color w:val="000000"/>
          <w:sz w:val="27"/>
          <w:szCs w:val="27"/>
          <w:lang w:val="en-US" w:eastAsia="zh-CN" w:bidi="ar-SA"/>
        </w:rPr>
        <w:br/>
        <w:t>2758.67</w:t>
      </w:r>
      <w:r>
        <w:rPr>
          <w:rFonts w:ascii="宋体" w:eastAsia="宋体" w:hAnsi="宋体" w:cs="宋体"/>
          <w:color w:val="000000"/>
          <w:sz w:val="27"/>
          <w:szCs w:val="27"/>
          <w:lang w:val="en-US" w:eastAsia="zh-CN" w:bidi="ar-SA"/>
        </w:rPr>
        <w:br/>
        <w:t>1558.67</w:t>
      </w:r>
      <w:r>
        <w:rPr>
          <w:rFonts w:ascii="宋体" w:eastAsia="宋体" w:hAnsi="宋体" w:cs="宋体"/>
          <w:color w:val="000000"/>
          <w:sz w:val="27"/>
          <w:szCs w:val="27"/>
          <w:lang w:val="en-US" w:eastAsia="zh-CN" w:bidi="ar-SA"/>
        </w:rPr>
        <w:br/>
        <w:t>38441.33</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之后</w:t>
      </w:r>
      <w:r>
        <w:rPr>
          <w:rFonts w:ascii="宋体" w:eastAsia="宋体" w:hAnsi="宋体" w:cs="宋体"/>
          <w:color w:val="000000"/>
          <w:sz w:val="27"/>
          <w:szCs w:val="27"/>
          <w:lang w:val="en-US" w:eastAsia="zh-CN" w:bidi="ar-SA"/>
        </w:rPr>
        <w:br/>
        <w:t xml:space="preserve">38441.33 </w:t>
      </w:r>
    </w:p>
    <w:p w14:paraId="74839A3C" w14:textId="77777777" w:rsidR="00000000" w:rsidRDefault="00AB00E5">
      <w:pPr>
        <w:ind w:left="375" w:right="375"/>
        <w:rPr>
          <w:rFonts w:ascii="Arial" w:eastAsia="Arial" w:hAnsi="Arial" w:cs="Arial"/>
          <w:lang w:val="en-US" w:eastAsia="zh-CN" w:bidi="ar-SA"/>
        </w:rPr>
      </w:pPr>
      <w:r>
        <w:rPr>
          <w:rFonts w:ascii="Arial" w:eastAsia="Arial" w:hAnsi="Arial" w:cs="Arial"/>
          <w:lang w:val="en-US" w:eastAsia="zh-CN" w:bidi="ar-SA"/>
        </w:rPr>
        <w:br/>
      </w:r>
    </w:p>
    <w:p w14:paraId="77C0E535" w14:textId="77777777" w:rsidR="00000000" w:rsidRDefault="00A77B3E">
      <w:pPr>
        <w:spacing w:line="630" w:lineRule="atLeast"/>
        <w:rPr>
          <w:rFonts w:eastAsia="Times New Roman"/>
          <w:sz w:val="26"/>
          <w:szCs w:val="26"/>
          <w:lang w:val="en-US" w:eastAsia="zh-CN" w:bidi="ar-SA"/>
        </w:rPr>
      </w:pPr>
      <w:r>
        <w:br w:type="page"/>
      </w:r>
      <w:r w:rsidR="00AB00E5">
        <w:rPr>
          <w:rFonts w:eastAsia="Times New Roman"/>
          <w:sz w:val="26"/>
          <w:szCs w:val="26"/>
          <w:lang w:val="en-US" w:eastAsia="zh-CN" w:bidi="ar-SA"/>
        </w:rPr>
        <w:t>©北大法宝：（</w:t>
      </w:r>
      <w:hyperlink r:id="rId9" w:history="1">
        <w:r w:rsidR="00AB00E5">
          <w:rPr>
            <w:rFonts w:eastAsia="Times New Roman"/>
            <w:color w:val="218FC4"/>
            <w:sz w:val="26"/>
            <w:szCs w:val="26"/>
            <w:u w:val="single" w:color="218FC4"/>
            <w:lang w:val="en-US" w:eastAsia="zh-CN" w:bidi="ar-SA"/>
          </w:rPr>
          <w:t>www.pkulaw.com</w:t>
        </w:r>
      </w:hyperlink>
      <w:r w:rsidR="00AB00E5">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0" w:tgtFrame="_blank" w:history="1">
        <w:r w:rsidR="00AB00E5">
          <w:rPr>
            <w:rFonts w:eastAsia="Times New Roman"/>
            <w:color w:val="218FC4"/>
            <w:sz w:val="26"/>
            <w:szCs w:val="26"/>
            <w:u w:val="single" w:color="218FC4"/>
            <w:lang w:val="en-US" w:eastAsia="zh-CN" w:bidi="ar-SA"/>
          </w:rPr>
          <w:t>产品和服务</w:t>
        </w:r>
      </w:hyperlink>
      <w:r w:rsidR="00AB00E5">
        <w:rPr>
          <w:rFonts w:eastAsia="Times New Roman"/>
          <w:sz w:val="26"/>
          <w:szCs w:val="26"/>
          <w:lang w:val="en-US" w:eastAsia="zh-CN" w:bidi="ar-SA"/>
        </w:rPr>
        <w:t>。</w:t>
      </w:r>
      <w:r w:rsidR="00AB00E5">
        <w:rPr>
          <w:rFonts w:eastAsia="Times New Roman"/>
          <w:sz w:val="26"/>
          <w:szCs w:val="26"/>
          <w:lang w:val="en-US" w:eastAsia="zh-CN" w:bidi="ar-SA"/>
        </w:rPr>
        <w:br/>
      </w:r>
      <w:hyperlink r:id="rId11" w:tgtFrame="_blank" w:history="1">
        <w:r w:rsidR="00AB00E5">
          <w:rPr>
            <w:rFonts w:eastAsia="Times New Roman"/>
            <w:color w:val="218FC4"/>
            <w:sz w:val="26"/>
            <w:szCs w:val="26"/>
            <w:u w:val="single" w:color="218FC4"/>
            <w:lang w:val="en-US" w:eastAsia="zh-CN" w:bidi="ar-SA"/>
          </w:rPr>
          <w:t>法宝快讯： 如何快速找到您需要的检索结果？ 法宝 V6 有何新特色？</w:t>
        </w:r>
      </w:hyperlink>
    </w:p>
    <w:p w14:paraId="3E26145F" w14:textId="77777777" w:rsidR="00000000" w:rsidRDefault="00AB00E5">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2" o:title=""/>
          </v:shape>
        </w:pict>
      </w:r>
    </w:p>
    <w:p w14:paraId="55E84C90" w14:textId="77777777" w:rsidR="00000000" w:rsidRDefault="00AB00E5">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4BCE182A" w14:textId="77777777" w:rsidR="00000000" w:rsidRDefault="00AB00E5">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13" w:tgtFrame="_blank" w:history="1">
        <w:r>
          <w:rPr>
            <w:rFonts w:eastAsia="Times New Roman"/>
            <w:color w:val="000000"/>
            <w:sz w:val="26"/>
            <w:szCs w:val="26"/>
            <w:u w:val="single" w:color="000000"/>
            <w:lang w:val="en-US" w:eastAsia="zh-CN" w:bidi="ar-SA"/>
          </w:rPr>
          <w:t xml:space="preserve">https://www.pkulaw.com/pfnl/a6bdb3332ec0adc4fbe0b9775f2fecd5dda9c60458ced4fbbdfb.html </w:t>
        </w:r>
      </w:hyperlink>
    </w:p>
    <w:p w14:paraId="3C81D3A8" w14:textId="77777777" w:rsidR="00A77B3E" w:rsidRDefault="00A77B3E"/>
    <w:sectPr w:rsidR="00A77B3E">
      <w:headerReference w:type="default" r:id="rId14"/>
      <w:footerReference w:type="default" r:id="rId15"/>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D12F0" w14:textId="77777777" w:rsidR="00000000" w:rsidRDefault="00AB00E5">
      <w:r>
        <w:separator/>
      </w:r>
    </w:p>
  </w:endnote>
  <w:endnote w:type="continuationSeparator" w:id="0">
    <w:p w14:paraId="7F9AEB24" w14:textId="77777777" w:rsidR="00000000" w:rsidRDefault="00AB0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737E42E1" w14:textId="77777777">
      <w:trPr>
        <w:tblCellSpacing w:w="15" w:type="dxa"/>
      </w:trPr>
      <w:tc>
        <w:tcPr>
          <w:tcW w:w="1530" w:type="dxa"/>
          <w:tcMar>
            <w:top w:w="15" w:type="dxa"/>
            <w:left w:w="15" w:type="dxa"/>
            <w:bottom w:w="15" w:type="dxa"/>
            <w:right w:w="15" w:type="dxa"/>
          </w:tcMar>
          <w:vAlign w:val="center"/>
          <w:hideMark/>
        </w:tcPr>
        <w:p w14:paraId="2FC262DE" w14:textId="77777777" w:rsidR="00000000" w:rsidRDefault="00AB00E5">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4F57B9C3" w14:textId="77777777" w:rsidR="00000000" w:rsidRDefault="00AB00E5">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4DD8B829" w14:textId="77777777" w:rsidR="00000000" w:rsidRDefault="00AB00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1AA0C" w14:textId="77777777" w:rsidR="00000000" w:rsidRDefault="00AB00E5">
      <w:r>
        <w:separator/>
      </w:r>
    </w:p>
  </w:footnote>
  <w:footnote w:type="continuationSeparator" w:id="0">
    <w:p w14:paraId="417D9B8A" w14:textId="77777777" w:rsidR="00000000" w:rsidRDefault="00AB0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2E74D6C0" w14:textId="77777777">
      <w:trPr>
        <w:tblCellSpacing w:w="15" w:type="dxa"/>
      </w:trPr>
      <w:tc>
        <w:tcPr>
          <w:tcW w:w="0" w:type="auto"/>
          <w:tcMar>
            <w:top w:w="15" w:type="dxa"/>
            <w:left w:w="15" w:type="dxa"/>
            <w:bottom w:w="15" w:type="dxa"/>
            <w:right w:w="15" w:type="dxa"/>
          </w:tcMar>
          <w:vAlign w:val="center"/>
          <w:hideMark/>
        </w:tcPr>
        <w:p w14:paraId="12727E0F" w14:textId="77777777" w:rsidR="00000000" w:rsidRDefault="00AB00E5">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4D5AC643" w14:textId="77777777" w:rsidR="00000000" w:rsidRDefault="00AB00E5">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CLI.C.92674934</w:t>
          </w:r>
        </w:p>
      </w:tc>
    </w:tr>
  </w:tbl>
  <w:p w14:paraId="535F587E" w14:textId="77777777" w:rsidR="00000000" w:rsidRDefault="00AB00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AB00E5"/>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33FF7C"/>
  <w15:chartTrackingRefBased/>
  <w15:docId w15:val="{9138F54B-C99F-4B93-B1BB-73D3C9F9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AB00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B00E5"/>
    <w:rPr>
      <w:sz w:val="18"/>
      <w:szCs w:val="18"/>
    </w:rPr>
  </w:style>
  <w:style w:type="paragraph" w:styleId="a5">
    <w:name w:val="footer"/>
    <w:basedOn w:val="a"/>
    <w:link w:val="a6"/>
    <w:rsid w:val="00AB00E5"/>
    <w:pPr>
      <w:tabs>
        <w:tab w:val="center" w:pos="4153"/>
        <w:tab w:val="right" w:pos="8306"/>
      </w:tabs>
      <w:snapToGrid w:val="0"/>
    </w:pPr>
    <w:rPr>
      <w:sz w:val="18"/>
      <w:szCs w:val="18"/>
    </w:rPr>
  </w:style>
  <w:style w:type="character" w:customStyle="1" w:styleId="a6">
    <w:name w:val="页脚 字符"/>
    <w:basedOn w:val="a0"/>
    <w:link w:val="a5"/>
    <w:rsid w:val="00AB00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19978;&#28023;&#26126;&#20262;&#24459;&#24072;&#20107;&#21153;&#25152;')" TargetMode="External"/><Relationship Id="rId13" Type="http://schemas.openxmlformats.org/officeDocument/2006/relationships/hyperlink" Target="https://www.pkulaw.com/pfnl/a6bdb3332ec0adc4fbe0b9775f2fecd5dda9c60458ced4fbbdfb.html" TargetMode="External"/><Relationship Id="rId3" Type="http://schemas.openxmlformats.org/officeDocument/2006/relationships/settings" Target="settings.xml"/><Relationship Id="rId7" Type="http://schemas.openxmlformats.org/officeDocument/2006/relationships/hyperlink" Target="javascript:LawFirmSearch('&#19978;&#28023;&#26126;&#20262;&#24459;&#24072;&#20107;&#21153;&#25152;')"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kulaw.com/helps/69.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pkulaw.net/" TargetMode="External"/><Relationship Id="rId4" Type="http://schemas.openxmlformats.org/officeDocument/2006/relationships/webSettings" Target="webSettings.xml"/><Relationship Id="rId9" Type="http://schemas.openxmlformats.org/officeDocument/2006/relationships/hyperlink" Target="https://www.pkulaw.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2024-05-11T15:46:00Z</dcterms:created>
  <dcterms:modified xsi:type="dcterms:W3CDTF">2024-05-11T15:46:00Z</dcterms:modified>
</cp:coreProperties>
</file>