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5E72" w14:textId="77777777" w:rsidR="00000000" w:rsidRDefault="002D249B">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杨庆诉戚仁旭等民间借贷纠纷案</w:t>
      </w:r>
    </w:p>
    <w:p w14:paraId="724E3D0A" w14:textId="77777777" w:rsidR="00000000" w:rsidRDefault="002D249B">
      <w:pPr>
        <w:ind w:left="375" w:right="375"/>
        <w:rPr>
          <w:rFonts w:ascii="Arial" w:eastAsia="Arial" w:hAnsi="Arial" w:cs="Arial"/>
          <w:lang w:val="en-US" w:eastAsia="zh-CN" w:bidi="ar-SA"/>
        </w:rPr>
      </w:pPr>
      <w:r>
        <w:rPr>
          <w:rFonts w:ascii="Arial" w:eastAsia="Arial" w:hAnsi="Arial" w:cs="Arial"/>
          <w:lang w:val="en-US" w:eastAsia="zh-CN" w:bidi="ar-SA"/>
        </w:rPr>
        <w:br/>
      </w:r>
    </w:p>
    <w:p w14:paraId="3E888B9D" w14:textId="77777777" w:rsidR="00000000" w:rsidRDefault="002D249B">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杨庆诉戚仁旭等民间借贷纠纷案</w:t>
      </w:r>
    </w:p>
    <w:p w14:paraId="1760DDEE" w14:textId="77777777" w:rsidR="00000000" w:rsidRDefault="002D249B">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A2EA968" w14:textId="77777777" w:rsidR="00000000" w:rsidRDefault="002D249B">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(2014)</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00573</w:t>
      </w:r>
      <w:r>
        <w:rPr>
          <w:rStyle w:val="span"/>
          <w:rFonts w:ascii="宋体" w:eastAsia="宋体" w:hAnsi="宋体" w:cs="宋体"/>
          <w:color w:val="000000"/>
          <w:sz w:val="27"/>
          <w:szCs w:val="27"/>
          <w:lang w:val="en-US" w:eastAsia="zh-CN" w:bidi="ar-SA"/>
        </w:rPr>
        <w:t>号</w:t>
      </w:r>
    </w:p>
    <w:p w14:paraId="6B25F297" w14:textId="77777777" w:rsidR="00000000" w:rsidRDefault="002D249B">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原告：杨庆。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委托代理人：杜怀苏，</w:t>
      </w:r>
      <w:hyperlink r:id="rId7" w:history="1">
        <w:r>
          <w:rPr>
            <w:rStyle w:val="fulltext-wrapfulltexta"/>
            <w:rFonts w:ascii="宋体" w:eastAsia="宋体" w:hAnsi="宋体" w:cs="宋体"/>
            <w:sz w:val="27"/>
            <w:szCs w:val="27"/>
            <w:lang w:val="en-US" w:eastAsia="zh-CN" w:bidi="ar-SA"/>
          </w:rPr>
          <w:t>安徽律维律师事务所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被告：戚仁旭。</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被告：杨燕。</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被告：胡董云。</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原告杨庆诉被告戚仁旭、杨燕、胡董云民间借贷纠纷一案，本院于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日受理后，依法由代理审判员干思尧适用简易</w:t>
      </w:r>
      <w:r>
        <w:rPr>
          <w:rFonts w:ascii="宋体" w:eastAsia="宋体" w:hAnsi="宋体" w:cs="宋体"/>
          <w:color w:val="000000"/>
          <w:sz w:val="27"/>
          <w:szCs w:val="27"/>
          <w:lang w:val="en-US" w:eastAsia="zh-CN" w:bidi="ar-SA"/>
        </w:rPr>
        <w:t>程序于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日公开开庭进行了审理。原告杨庆的委托代理人杜怀苏到庭参加诉讼，被告戚仁旭、杨燕、胡董云经本院传票传唤无正当理由未到庭参加诉讼。本案现已审理终结。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原告杨庆诉称：</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月，原告通过被告胡董云介绍认识了被告戚仁旭。戚仁旭称其正经营汽车配件门市部，因进货缺少资金，欲向原告借款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万元，胡董云提出愿意做担保，于是原告于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日借</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万元给戚仁旭。戚仁旭出具了借条并约定月息三分，其妻子杨燕签字确认，胡董云提供了担保。被告戚仁旭自</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7-10</w:t>
      </w:r>
      <w:r>
        <w:rPr>
          <w:rFonts w:ascii="宋体" w:eastAsia="宋体" w:hAnsi="宋体" w:cs="宋体"/>
          <w:color w:val="000000"/>
          <w:sz w:val="27"/>
          <w:szCs w:val="27"/>
          <w:lang w:val="en-US" w:eastAsia="zh-CN" w:bidi="ar-SA"/>
        </w:rPr>
        <w:t>月份每月支付</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日付</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元，计</w:t>
      </w:r>
      <w:r>
        <w:rPr>
          <w:rFonts w:ascii="宋体" w:eastAsia="宋体" w:hAnsi="宋体" w:cs="宋体"/>
          <w:color w:val="000000"/>
          <w:sz w:val="27"/>
          <w:szCs w:val="27"/>
          <w:lang w:val="en-US" w:eastAsia="zh-CN" w:bidi="ar-SA"/>
        </w:rPr>
        <w:t>17000</w:t>
      </w:r>
      <w:r>
        <w:rPr>
          <w:rFonts w:ascii="宋体" w:eastAsia="宋体" w:hAnsi="宋体" w:cs="宋体"/>
          <w:color w:val="000000"/>
          <w:sz w:val="27"/>
          <w:szCs w:val="27"/>
          <w:lang w:val="en-US" w:eastAsia="zh-CN" w:bidi="ar-SA"/>
        </w:rPr>
        <w:t>元，此外未支付过利息或归还本金，虽经原告多次催要，被告拒不</w:t>
      </w:r>
      <w:r>
        <w:rPr>
          <w:rFonts w:ascii="宋体" w:eastAsia="宋体" w:hAnsi="宋体" w:cs="宋体"/>
          <w:color w:val="000000"/>
          <w:sz w:val="27"/>
          <w:szCs w:val="27"/>
          <w:lang w:val="en-US" w:eastAsia="zh-CN" w:bidi="ar-SA"/>
        </w:rPr>
        <w:lastRenderedPageBreak/>
        <w:t>还款。胡董云作为担保人，应当承担连带责任。被告的行为侵犯了原告合法权益，故起诉至法院，请求：一、判令被告戚仁旭、杨燕归还原告借款本金人民币</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万元，并按银行同期贷款利率</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倍支付利息至还清之日止；二、被告胡董云承担连带责任；三、本案全部诉讼费用由被告承担。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被告戚仁旭、杨燕、胡董云均未答辩，亦未提交证据。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日，被告戚仁旭、杨燕向原告借款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万元用于</w:t>
      </w:r>
      <w:r>
        <w:rPr>
          <w:rFonts w:ascii="宋体" w:eastAsia="宋体" w:hAnsi="宋体" w:cs="宋体"/>
          <w:color w:val="000000"/>
          <w:sz w:val="27"/>
          <w:szCs w:val="27"/>
          <w:lang w:val="en-US" w:eastAsia="zh-CN" w:bidi="ar-SA"/>
        </w:rPr>
        <w:t>做生意周转资金并出具了借条，胡董云提供了担保。借条内容为：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借条，今借到杨庆人民币现金壹拾万元整（￥</w:t>
      </w:r>
      <w:r>
        <w:rPr>
          <w:rFonts w:ascii="宋体" w:eastAsia="宋体" w:hAnsi="宋体" w:cs="宋体"/>
          <w:color w:val="000000"/>
          <w:sz w:val="27"/>
          <w:szCs w:val="27"/>
          <w:lang w:val="en-US" w:eastAsia="zh-CN" w:bidi="ar-SA"/>
        </w:rPr>
        <w:t>100000.00</w:t>
      </w:r>
      <w:r>
        <w:rPr>
          <w:rFonts w:ascii="宋体" w:eastAsia="宋体" w:hAnsi="宋体" w:cs="宋体"/>
          <w:color w:val="000000"/>
          <w:sz w:val="27"/>
          <w:szCs w:val="27"/>
          <w:lang w:val="en-US" w:eastAsia="zh-CN" w:bidi="ar-SA"/>
        </w:rPr>
        <w:t>），立此为据，按月利息叁分计算。借款人：戚仁徐杨燕，担保人：胡董云</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。当日原告支付被告戚仁旭现金</w:t>
      </w:r>
      <w:r>
        <w:rPr>
          <w:rFonts w:ascii="宋体" w:eastAsia="宋体" w:hAnsi="宋体" w:cs="宋体"/>
          <w:color w:val="000000"/>
          <w:sz w:val="27"/>
          <w:szCs w:val="27"/>
          <w:lang w:val="en-US" w:eastAsia="zh-CN" w:bidi="ar-SA"/>
        </w:rPr>
        <w:t>97000</w:t>
      </w:r>
      <w:r>
        <w:rPr>
          <w:rFonts w:ascii="宋体" w:eastAsia="宋体" w:hAnsi="宋体" w:cs="宋体"/>
          <w:color w:val="000000"/>
          <w:sz w:val="27"/>
          <w:szCs w:val="27"/>
          <w:lang w:val="en-US" w:eastAsia="zh-CN" w:bidi="ar-SA"/>
        </w:rPr>
        <w:t>元（已扣除</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月份利息</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元），此后被告戚仁旭分别于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月份、</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月份、</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月份向原告每次支付</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元利息，</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日，被告戚仁旭再次支付原告利息</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上述事实，由当事人陈述、借条等证明。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w:t>
      </w:r>
      <w:r>
        <w:rPr>
          <w:rFonts w:ascii="宋体" w:eastAsia="宋体" w:hAnsi="宋体" w:cs="宋体"/>
          <w:color w:val="000000"/>
          <w:sz w:val="27"/>
          <w:szCs w:val="27"/>
          <w:lang w:val="en-US" w:eastAsia="zh-CN" w:bidi="ar-SA"/>
        </w:rPr>
        <w:t>，但借款的利息不得预先在本金中扣除。利息预先在本金中扣除的，应当按照实际借款数额返还借款并计算利息。被告戚仁旭、杨燕于</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日共同向原告杨庆借款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万元，杨庆于出借当日扣除</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元利息，实际支付戚仁旭、杨燕</w:t>
      </w:r>
      <w:r>
        <w:rPr>
          <w:rFonts w:ascii="宋体" w:eastAsia="宋体" w:hAnsi="宋体" w:cs="宋体"/>
          <w:color w:val="000000"/>
          <w:sz w:val="27"/>
          <w:szCs w:val="27"/>
          <w:lang w:val="en-US" w:eastAsia="zh-CN" w:bidi="ar-SA"/>
        </w:rPr>
        <w:t>97000</w:t>
      </w:r>
      <w:r>
        <w:rPr>
          <w:rFonts w:ascii="宋体" w:eastAsia="宋体" w:hAnsi="宋体" w:cs="宋体"/>
          <w:color w:val="000000"/>
          <w:sz w:val="27"/>
          <w:szCs w:val="27"/>
          <w:lang w:val="en-US" w:eastAsia="zh-CN" w:bidi="ar-SA"/>
        </w:rPr>
        <w:t>元，因此借款本金应为</w:t>
      </w:r>
      <w:r>
        <w:rPr>
          <w:rFonts w:ascii="宋体" w:eastAsia="宋体" w:hAnsi="宋体" w:cs="宋体"/>
          <w:color w:val="000000"/>
          <w:sz w:val="27"/>
          <w:szCs w:val="27"/>
          <w:lang w:val="en-US" w:eastAsia="zh-CN" w:bidi="ar-SA"/>
        </w:rPr>
        <w:t>97000</w:t>
      </w:r>
      <w:r>
        <w:rPr>
          <w:rFonts w:ascii="宋体" w:eastAsia="宋体" w:hAnsi="宋体" w:cs="宋体"/>
          <w:color w:val="000000"/>
          <w:sz w:val="27"/>
          <w:szCs w:val="27"/>
          <w:lang w:val="en-US" w:eastAsia="zh-CN" w:bidi="ar-SA"/>
        </w:rPr>
        <w:t>元。双方对借款期限没有约定，原告杨庆可以催告被告在合理期限内返还，双方对本金与利息的偿还顺序未约定的，应视为先还利息，所还款项超过应付利息的，超过部分应从本金中扣除。双方利率约定过高，原告当庭主张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计算利息，不违反法律法规，本院予以支持。被告</w:t>
      </w:r>
      <w:r>
        <w:rPr>
          <w:rFonts w:ascii="宋体" w:eastAsia="宋体" w:hAnsi="宋体" w:cs="宋体"/>
          <w:color w:val="000000"/>
          <w:sz w:val="27"/>
          <w:szCs w:val="27"/>
          <w:lang w:val="en-US" w:eastAsia="zh-CN" w:bidi="ar-SA"/>
        </w:rPr>
        <w:t>胡董云为担保人，担保方式及保证期限未约定，应视为承担连带保证责任，杨庆有权自主债务履行期届满之日起六个月内要求胡董云承担保证责任。因借条对还款期限没有约定，保证期间自债权人要求债务人履行义务的宽限期届满之日起计算。本案中被告戚仁旭、杨燕直至</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日还支付了</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元利息。原告之后多次催要未果，遂于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日提起诉讼，因此被告胡董云的保证责任应在保证期限内，故对原告要求被告胡董云承担连带责任的诉讼请求，本院予以支持。</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月份，戚仁旭、杨燕应付杨庆利息</w:t>
      </w:r>
      <w:r>
        <w:rPr>
          <w:rFonts w:ascii="宋体" w:eastAsia="宋体" w:hAnsi="宋体" w:cs="宋体"/>
          <w:color w:val="000000"/>
          <w:sz w:val="27"/>
          <w:szCs w:val="27"/>
          <w:lang w:val="en-US" w:eastAsia="zh-CN" w:bidi="ar-SA"/>
        </w:rPr>
        <w:t>1940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97000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，实际付款</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元，多出的</w:t>
      </w:r>
      <w:r>
        <w:rPr>
          <w:rFonts w:ascii="宋体" w:eastAsia="宋体" w:hAnsi="宋体" w:cs="宋体"/>
          <w:color w:val="000000"/>
          <w:sz w:val="27"/>
          <w:szCs w:val="27"/>
          <w:lang w:val="en-US" w:eastAsia="zh-CN" w:bidi="ar-SA"/>
        </w:rPr>
        <w:t>1060</w:t>
      </w:r>
      <w:r>
        <w:rPr>
          <w:rFonts w:ascii="宋体" w:eastAsia="宋体" w:hAnsi="宋体" w:cs="宋体"/>
          <w:color w:val="000000"/>
          <w:sz w:val="27"/>
          <w:szCs w:val="27"/>
          <w:lang w:val="en-US" w:eastAsia="zh-CN" w:bidi="ar-SA"/>
        </w:rPr>
        <w:t>元应从本金中扣除，因此所欠本金应为</w:t>
      </w:r>
      <w:r>
        <w:rPr>
          <w:rFonts w:ascii="宋体" w:eastAsia="宋体" w:hAnsi="宋体" w:cs="宋体"/>
          <w:color w:val="000000"/>
          <w:sz w:val="27"/>
          <w:szCs w:val="27"/>
          <w:lang w:val="en-US" w:eastAsia="zh-CN" w:bidi="ar-SA"/>
        </w:rPr>
        <w:t>95940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97000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1060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月份，应付利息</w:t>
      </w:r>
      <w:r>
        <w:rPr>
          <w:rFonts w:ascii="宋体" w:eastAsia="宋体" w:hAnsi="宋体" w:cs="宋体"/>
          <w:color w:val="000000"/>
          <w:sz w:val="27"/>
          <w:szCs w:val="27"/>
          <w:lang w:val="en-US" w:eastAsia="zh-CN" w:bidi="ar-SA"/>
        </w:rPr>
        <w:t>1918.8</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95940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），实际付款</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元，多出的</w:t>
      </w:r>
      <w:r>
        <w:rPr>
          <w:rFonts w:ascii="宋体" w:eastAsia="宋体" w:hAnsi="宋体" w:cs="宋体"/>
          <w:color w:val="000000"/>
          <w:sz w:val="27"/>
          <w:szCs w:val="27"/>
          <w:lang w:val="en-US" w:eastAsia="zh-CN" w:bidi="ar-SA"/>
        </w:rPr>
        <w:t>1081.2</w:t>
      </w:r>
      <w:r>
        <w:rPr>
          <w:rFonts w:ascii="宋体" w:eastAsia="宋体" w:hAnsi="宋体" w:cs="宋体"/>
          <w:color w:val="000000"/>
          <w:sz w:val="27"/>
          <w:szCs w:val="27"/>
          <w:lang w:val="en-US" w:eastAsia="zh-CN" w:bidi="ar-SA"/>
        </w:rPr>
        <w:t>元应从本金中扣除，因此欠原告本金</w:t>
      </w:r>
      <w:r>
        <w:rPr>
          <w:rFonts w:ascii="宋体" w:eastAsia="宋体" w:hAnsi="宋体" w:cs="宋体"/>
          <w:color w:val="000000"/>
          <w:sz w:val="27"/>
          <w:szCs w:val="27"/>
          <w:lang w:val="en-US" w:eastAsia="zh-CN" w:bidi="ar-SA"/>
        </w:rPr>
        <w:t>94858.8</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95940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1081.2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月份，借款人再次还款</w:t>
      </w:r>
      <w:r>
        <w:rPr>
          <w:rFonts w:ascii="宋体" w:eastAsia="宋体" w:hAnsi="宋体" w:cs="宋体"/>
          <w:color w:val="000000"/>
          <w:sz w:val="27"/>
          <w:szCs w:val="27"/>
          <w:lang w:val="en-US" w:eastAsia="zh-CN" w:bidi="ar-SA"/>
        </w:rPr>
        <w:t>3000</w:t>
      </w:r>
      <w:r>
        <w:rPr>
          <w:rFonts w:ascii="宋体" w:eastAsia="宋体" w:hAnsi="宋体" w:cs="宋体"/>
          <w:color w:val="000000"/>
          <w:sz w:val="27"/>
          <w:szCs w:val="27"/>
          <w:lang w:val="en-US" w:eastAsia="zh-CN" w:bidi="ar-SA"/>
        </w:rPr>
        <w:t>元，扣除应付利息</w:t>
      </w:r>
      <w:r>
        <w:rPr>
          <w:rFonts w:ascii="宋体" w:eastAsia="宋体" w:hAnsi="宋体" w:cs="宋体"/>
          <w:color w:val="000000"/>
          <w:sz w:val="27"/>
          <w:szCs w:val="27"/>
          <w:lang w:val="en-US" w:eastAsia="zh-CN" w:bidi="ar-SA"/>
        </w:rPr>
        <w:t>1897.2</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94858.8</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），余额</w:t>
      </w:r>
      <w:r>
        <w:rPr>
          <w:rFonts w:ascii="宋体" w:eastAsia="宋体" w:hAnsi="宋体" w:cs="宋体"/>
          <w:color w:val="000000"/>
          <w:sz w:val="27"/>
          <w:szCs w:val="27"/>
          <w:lang w:val="en-US" w:eastAsia="zh-CN" w:bidi="ar-SA"/>
        </w:rPr>
        <w:t>1102.8</w:t>
      </w:r>
      <w:r>
        <w:rPr>
          <w:rFonts w:ascii="宋体" w:eastAsia="宋体" w:hAnsi="宋体" w:cs="宋体"/>
          <w:color w:val="000000"/>
          <w:sz w:val="27"/>
          <w:szCs w:val="27"/>
          <w:lang w:val="en-US" w:eastAsia="zh-CN" w:bidi="ar-SA"/>
        </w:rPr>
        <w:t>元应从本金中扣除，因此尚欠原告本金</w:t>
      </w:r>
      <w:r>
        <w:rPr>
          <w:rFonts w:ascii="宋体" w:eastAsia="宋体" w:hAnsi="宋体" w:cs="宋体"/>
          <w:color w:val="000000"/>
          <w:sz w:val="27"/>
          <w:szCs w:val="27"/>
          <w:lang w:val="en-US" w:eastAsia="zh-CN" w:bidi="ar-SA"/>
        </w:rPr>
        <w:t>93756</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94858.8</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1102.8</w:t>
      </w:r>
      <w:r>
        <w:rPr>
          <w:rFonts w:ascii="宋体" w:eastAsia="宋体" w:hAnsi="宋体" w:cs="宋体"/>
          <w:color w:val="000000"/>
          <w:sz w:val="27"/>
          <w:szCs w:val="27"/>
          <w:lang w:val="en-US" w:eastAsia="zh-CN" w:bidi="ar-SA"/>
        </w:rPr>
        <w:t>元）。综上，依据</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0" w:anchor="tiao_200" w:history="1">
        <w:r>
          <w:rPr>
            <w:rStyle w:val="fulltext-wrapfulltexta"/>
            <w:rFonts w:ascii="宋体" w:eastAsia="宋体" w:hAnsi="宋体" w:cs="宋体"/>
            <w:sz w:val="27"/>
            <w:szCs w:val="27"/>
            <w:lang w:val="en-US" w:eastAsia="zh-CN" w:bidi="ar-SA"/>
          </w:rPr>
          <w:t>二百条</w:t>
        </w:r>
      </w:hyperlink>
      <w:r>
        <w:rPr>
          <w:rFonts w:ascii="宋体" w:eastAsia="宋体" w:hAnsi="宋体" w:cs="宋体"/>
          <w:color w:val="000000"/>
          <w:sz w:val="27"/>
          <w:szCs w:val="27"/>
          <w:lang w:val="en-US" w:eastAsia="zh-CN" w:bidi="ar-SA"/>
        </w:rPr>
        <w:t>、第</w:t>
      </w:r>
      <w:hyperlink r:id="rId11"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3"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4"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5" w:anchor="tiao_108" w:history="1">
        <w:r>
          <w:rPr>
            <w:rStyle w:val="fulltext-wrapfulltexta"/>
            <w:rFonts w:ascii="宋体" w:eastAsia="宋体" w:hAnsi="宋体" w:cs="宋体"/>
            <w:sz w:val="27"/>
            <w:szCs w:val="27"/>
            <w:lang w:val="en-US" w:eastAsia="zh-CN" w:bidi="ar-SA"/>
          </w:rPr>
          <w:t>一百零八条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7"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8" w:anchor="tiao_21" w:history="1">
        <w:r>
          <w:rPr>
            <w:rStyle w:val="fulltext-wrapfulltexta"/>
            <w:rFonts w:ascii="宋体" w:eastAsia="宋体" w:hAnsi="宋体" w:cs="宋体"/>
            <w:sz w:val="27"/>
            <w:szCs w:val="27"/>
            <w:lang w:val="en-US" w:eastAsia="zh-CN" w:bidi="ar-SA"/>
          </w:rPr>
          <w:t>二十一条</w:t>
        </w:r>
      </w:hyperlink>
      <w:r>
        <w:rPr>
          <w:rFonts w:ascii="宋体" w:eastAsia="宋体" w:hAnsi="宋体" w:cs="宋体"/>
          <w:color w:val="000000"/>
          <w:sz w:val="27"/>
          <w:szCs w:val="27"/>
          <w:lang w:val="en-US" w:eastAsia="zh-CN" w:bidi="ar-SA"/>
        </w:rPr>
        <w:t>、第</w:t>
      </w:r>
      <w:hyperlink r:id="rId19"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最高人</w:t>
        </w:r>
        <w:r>
          <w:rPr>
            <w:rStyle w:val="fulltext-wrapfulltexta"/>
            <w:rFonts w:ascii="宋体" w:eastAsia="宋体" w:hAnsi="宋体" w:cs="宋体"/>
            <w:sz w:val="27"/>
            <w:szCs w:val="27"/>
            <w:lang w:val="en-US" w:eastAsia="zh-CN" w:bidi="ar-SA"/>
          </w:rPr>
          <w:t>民法院关于适用〈中华人民共和国担保法〉若干问题的解释</w:t>
        </w:r>
      </w:hyperlink>
      <w:r>
        <w:rPr>
          <w:rFonts w:ascii="宋体" w:eastAsia="宋体" w:hAnsi="宋体" w:cs="宋体"/>
          <w:color w:val="000000"/>
          <w:sz w:val="27"/>
          <w:szCs w:val="27"/>
          <w:lang w:val="en-US" w:eastAsia="zh-CN" w:bidi="ar-SA"/>
        </w:rPr>
        <w:t>》第</w:t>
      </w:r>
      <w:hyperlink r:id="rId21" w:anchor="tiao_33" w:history="1">
        <w:r>
          <w:rPr>
            <w:rStyle w:val="fulltext-wrapfulltexta"/>
            <w:rFonts w:ascii="宋体" w:eastAsia="宋体" w:hAnsi="宋体" w:cs="宋体"/>
            <w:sz w:val="27"/>
            <w:szCs w:val="27"/>
            <w:lang w:val="en-US" w:eastAsia="zh-CN" w:bidi="ar-SA"/>
          </w:rPr>
          <w:t>三十三条</w:t>
        </w:r>
      </w:hyperlink>
      <w:r>
        <w:rPr>
          <w:rFonts w:ascii="宋体" w:eastAsia="宋体" w:hAnsi="宋体" w:cs="宋体"/>
          <w:color w:val="000000"/>
          <w:sz w:val="27"/>
          <w:szCs w:val="27"/>
          <w:lang w:val="en-US" w:eastAsia="zh-CN" w:bidi="ar-SA"/>
        </w:rPr>
        <w:t>，最高人民法院《</w:t>
      </w:r>
      <w:hyperlink r:id="rId22" w:history="1">
        <w:r>
          <w:rPr>
            <w:rStyle w:val="fulltext-wrapfulltexta"/>
            <w:rFonts w:ascii="宋体" w:eastAsia="宋体" w:hAnsi="宋体" w:cs="宋体"/>
            <w:sz w:val="27"/>
            <w:szCs w:val="27"/>
            <w:lang w:val="en-US" w:eastAsia="zh-CN" w:bidi="ar-SA"/>
          </w:rPr>
          <w:t>关于人民法院审理借贷案件的若干意见</w:t>
        </w:r>
      </w:hyperlink>
      <w:r>
        <w:rPr>
          <w:rFonts w:ascii="宋体" w:eastAsia="宋体" w:hAnsi="宋体" w:cs="宋体"/>
          <w:color w:val="000000"/>
          <w:sz w:val="27"/>
          <w:szCs w:val="27"/>
          <w:lang w:val="en-US" w:eastAsia="zh-CN" w:bidi="ar-SA"/>
        </w:rPr>
        <w:t>》第六条、《</w:t>
      </w:r>
      <w:hyperlink r:id="rId2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4"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一、被告戚仁旭、杨燕于本判决生效之日起十日内偿还原告杨庆借款本金</w:t>
      </w:r>
      <w:r>
        <w:rPr>
          <w:rFonts w:ascii="宋体" w:eastAsia="宋体" w:hAnsi="宋体" w:cs="宋体"/>
          <w:color w:val="000000"/>
          <w:sz w:val="27"/>
          <w:szCs w:val="27"/>
          <w:lang w:val="en-US" w:eastAsia="zh-CN" w:bidi="ar-SA"/>
        </w:rPr>
        <w:t>93756</w:t>
      </w:r>
      <w:r>
        <w:rPr>
          <w:rFonts w:ascii="宋体" w:eastAsia="宋体" w:hAnsi="宋体" w:cs="宋体"/>
          <w:color w:val="000000"/>
          <w:sz w:val="27"/>
          <w:szCs w:val="27"/>
          <w:lang w:val="en-US" w:eastAsia="zh-CN" w:bidi="ar-SA"/>
        </w:rPr>
        <w:t>元并支付利息（以</w:t>
      </w:r>
      <w:r>
        <w:rPr>
          <w:rFonts w:ascii="宋体" w:eastAsia="宋体" w:hAnsi="宋体" w:cs="宋体"/>
          <w:color w:val="000000"/>
          <w:sz w:val="27"/>
          <w:szCs w:val="27"/>
          <w:lang w:val="en-US" w:eastAsia="zh-CN" w:bidi="ar-SA"/>
        </w:rPr>
        <w:t>93756</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日起至本判决确定的履行期限届满之日止按月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计算所得值再扣除被告已还的</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二、被告胡董云对前款中被告戚仁旭、杨燕所欠的款项承担连带责任；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三、驳回原告杨庆的其他诉讼请求。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如果未按本判决指定的期限履行给付金钱义务，应当依照《</w:t>
      </w:r>
      <w:hyperlink r:id="rId2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6"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3200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1600</w:t>
      </w:r>
      <w:r>
        <w:rPr>
          <w:rFonts w:ascii="宋体" w:eastAsia="宋体" w:hAnsi="宋体" w:cs="宋体"/>
          <w:color w:val="000000"/>
          <w:sz w:val="27"/>
          <w:szCs w:val="27"/>
          <w:lang w:val="en-US" w:eastAsia="zh-CN" w:bidi="ar-SA"/>
        </w:rPr>
        <w:t>元，由被告戚仁旭、杨燕、胡董云负担。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29D875C8" w14:textId="77777777" w:rsidR="00000000" w:rsidRDefault="002D249B">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代理审判员　　干思尧</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二〇一四年三月十三日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汪　觅</w:t>
      </w:r>
    </w:p>
    <w:p w14:paraId="702B34EC" w14:textId="77777777" w:rsidR="00000000" w:rsidRDefault="002D249B">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第二百条借款的利息不得预先在本金中扣除。利息预先在本金中扣除的，应当按照实际借款数额返还借款并计算利息。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第二百零五条借款人应当按照约定的期限支付利息。对支付利息的期限没有约定或者约定不明确，依照本法第六</w:t>
      </w:r>
      <w:r>
        <w:rPr>
          <w:rFonts w:ascii="宋体" w:eastAsia="宋体" w:hAnsi="宋体" w:cs="宋体"/>
          <w:color w:val="000000"/>
          <w:sz w:val="27"/>
          <w:szCs w:val="27"/>
          <w:lang w:val="en-US" w:eastAsia="zh-CN" w:bidi="ar-SA"/>
        </w:rPr>
        <w:t>十一条的规定仍不能确定，借款期间不满一年的，应当在返还借款时一并支付；借款期间一年以上的，应当在每届满一年时支付，剩余期间不满一年的，应当在返还借款时一并支付。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8" w:history="1">
        <w:r>
          <w:rPr>
            <w:rStyle w:val="fulltext-wrapfulltexta"/>
            <w:rFonts w:ascii="宋体" w:eastAsia="宋体" w:hAnsi="宋体" w:cs="宋体"/>
            <w:sz w:val="27"/>
            <w:szCs w:val="27"/>
            <w:lang w:val="en-US" w:eastAsia="zh-CN" w:bidi="ar-SA"/>
          </w:rPr>
          <w:t>中华人民</w:t>
        </w:r>
        <w:r>
          <w:rPr>
            <w:rStyle w:val="fulltext-wrapfulltexta"/>
            <w:rFonts w:ascii="宋体" w:eastAsia="宋体" w:hAnsi="宋体" w:cs="宋体"/>
            <w:sz w:val="27"/>
            <w:szCs w:val="27"/>
            <w:lang w:val="en-US" w:eastAsia="zh-CN" w:bidi="ar-SA"/>
          </w:rPr>
          <w:t>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第一百零八条债务应当清偿。暂时无力偿还的，经债权人同意或者人民法院裁决，可以由债务人分期偿还。有能力偿还拒不偿还的，由人民法院判决强制偿还。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9"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第十九条当事人对保证方式没有约定或者约定不明确的，按照连带责任保证承担保证责任。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第二十一条保证担保的范围包括主债权及利息、</w:t>
      </w:r>
      <w:r>
        <w:rPr>
          <w:rFonts w:ascii="宋体" w:eastAsia="宋体" w:hAnsi="宋体" w:cs="宋体"/>
          <w:color w:val="000000"/>
          <w:sz w:val="27"/>
          <w:szCs w:val="27"/>
          <w:lang w:val="en-US" w:eastAsia="zh-CN" w:bidi="ar-SA"/>
        </w:rPr>
        <w:t>违约金、损害赔偿金和实现债权的费用。保证合同另有约定的，按照约定。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当事人对保证担保的范围没有约定或者约定不明确的，保证人应当对全部债务承担责任。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第二十六条连带责任保证的保证人与债权人未约定保证期间的，债权人有权自主债务履行期届满之日起六个月内要求保证人承担保证责任。</w:t>
      </w:r>
      <w:r>
        <w:rPr>
          <w:rFonts w:ascii="宋体" w:eastAsia="宋体" w:hAnsi="宋体" w:cs="宋体"/>
          <w:color w:val="000000"/>
          <w:sz w:val="27"/>
          <w:szCs w:val="27"/>
          <w:lang w:val="en-US" w:eastAsia="zh-CN" w:bidi="ar-SA"/>
        </w:rPr>
        <w:br/>
      </w:r>
      <w:hyperlink r:id="rId30" w:history="1">
        <w:r>
          <w:rPr>
            <w:rStyle w:val="fulltext-wrapfulltexta"/>
            <w:rFonts w:ascii="宋体" w:eastAsia="宋体" w:hAnsi="宋体" w:cs="宋体"/>
            <w:sz w:val="27"/>
            <w:szCs w:val="27"/>
            <w:lang w:val="en-US" w:eastAsia="zh-CN" w:bidi="ar-SA"/>
          </w:rPr>
          <w:t>最高人民法院关于适用《中华人民共和国担保法》若干问题的解释</w:t>
        </w:r>
      </w:hyperlink>
      <w:r>
        <w:rPr>
          <w:rStyle w:val="fulltext-wrapfulltexta"/>
          <w:rFonts w:ascii="宋体" w:eastAsia="宋体" w:hAnsi="宋体" w:cs="宋体"/>
          <w:sz w:val="27"/>
          <w:szCs w:val="27"/>
          <w:lang w:val="en-US" w:eastAsia="zh-CN" w:bidi="ar-SA"/>
        </w:rPr>
        <w:br/>
      </w:r>
      <w:r>
        <w:rPr>
          <w:rFonts w:ascii="宋体" w:eastAsia="宋体" w:hAnsi="宋体" w:cs="宋体"/>
          <w:color w:val="000000"/>
          <w:sz w:val="27"/>
          <w:szCs w:val="27"/>
          <w:lang w:val="en-US" w:eastAsia="zh-CN" w:bidi="ar-SA"/>
        </w:rPr>
        <w:t>第三十三条主合同</w:t>
      </w:r>
      <w:r>
        <w:rPr>
          <w:rFonts w:ascii="宋体" w:eastAsia="宋体" w:hAnsi="宋体" w:cs="宋体"/>
          <w:color w:val="000000"/>
          <w:sz w:val="27"/>
          <w:szCs w:val="27"/>
          <w:lang w:val="en-US" w:eastAsia="zh-CN" w:bidi="ar-SA"/>
        </w:rPr>
        <w:t>对主债务履行期限没有约定或者约定不明的，保证期间自债权人要求债务人履行义务的宽限期届满之日起计算。</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最高人民法院《</w:t>
      </w:r>
      <w:hyperlink r:id="rId31" w:history="1">
        <w:r>
          <w:rPr>
            <w:rStyle w:val="fulltext-wrapfulltexta"/>
            <w:rFonts w:ascii="宋体" w:eastAsia="宋体" w:hAnsi="宋体" w:cs="宋体"/>
            <w:sz w:val="27"/>
            <w:szCs w:val="27"/>
            <w:lang w:val="en-US" w:eastAsia="zh-CN" w:bidi="ar-SA"/>
          </w:rPr>
          <w:t>关于人民法院审理借贷案件的若干意见</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第六条民间借贷的利率可以适当高于银行的利率，各地人民法院可根据本地区的实际情况具体掌握，但最高不得超过银行同类贷款利率的四倍（包含利率本数）。超出此限度的，超出部分的利息不予保护。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3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449A3593" w14:textId="77777777" w:rsidR="00000000" w:rsidRDefault="002D249B">
      <w:pPr>
        <w:ind w:left="375" w:right="375"/>
        <w:rPr>
          <w:rFonts w:ascii="Arial" w:eastAsia="Arial" w:hAnsi="Arial" w:cs="Arial"/>
          <w:lang w:val="en-US" w:eastAsia="zh-CN" w:bidi="ar-SA"/>
        </w:rPr>
      </w:pPr>
      <w:r>
        <w:rPr>
          <w:rFonts w:ascii="Arial" w:eastAsia="Arial" w:hAnsi="Arial" w:cs="Arial"/>
          <w:lang w:val="en-US" w:eastAsia="zh-CN" w:bidi="ar-SA"/>
        </w:rPr>
        <w:br/>
      </w:r>
    </w:p>
    <w:p w14:paraId="6B061B58" w14:textId="77777777" w:rsidR="00000000" w:rsidRDefault="00A77B3E">
      <w:pPr>
        <w:spacing w:line="630" w:lineRule="atLeast"/>
        <w:rPr>
          <w:rFonts w:eastAsia="Times New Roman"/>
          <w:sz w:val="26"/>
          <w:szCs w:val="26"/>
          <w:lang w:val="en-US" w:eastAsia="zh-CN" w:bidi="ar-SA"/>
        </w:rPr>
      </w:pPr>
      <w:r>
        <w:br w:type="page"/>
      </w:r>
      <w:r w:rsidR="002D249B">
        <w:rPr>
          <w:rFonts w:eastAsia="Times New Roman"/>
          <w:sz w:val="26"/>
          <w:szCs w:val="26"/>
          <w:lang w:val="en-US" w:eastAsia="zh-CN" w:bidi="ar-SA"/>
        </w:rPr>
        <w:t>©北大法宝：（</w:t>
      </w:r>
      <w:hyperlink r:id="rId33" w:history="1">
        <w:r w:rsidR="002D249B">
          <w:rPr>
            <w:rFonts w:eastAsia="Times New Roman"/>
            <w:color w:val="218FC4"/>
            <w:sz w:val="26"/>
            <w:szCs w:val="26"/>
            <w:u w:val="single" w:color="218FC4"/>
            <w:lang w:val="en-US" w:eastAsia="zh-CN" w:bidi="ar-SA"/>
          </w:rPr>
          <w:t>www.pkulaw.com</w:t>
        </w:r>
      </w:hyperlink>
      <w:r w:rsidR="002D249B">
        <w:rPr>
          <w:rFonts w:eastAsia="Times New Roman"/>
          <w:sz w:val="26"/>
          <w:szCs w:val="26"/>
          <w:lang w:val="en-US" w:eastAsia="zh-CN" w:bidi="ar-SA"/>
        </w:rPr>
        <w:t>）专业提供法律信息、法学知识和法律软件领域各类解决方案。北大法宝为您提供丰富的参考资料，正式引用法规条文时</w:t>
      </w:r>
      <w:r w:rsidR="002D249B">
        <w:rPr>
          <w:rFonts w:eastAsia="Times New Roman"/>
          <w:sz w:val="26"/>
          <w:szCs w:val="26"/>
          <w:lang w:val="en-US" w:eastAsia="zh-CN" w:bidi="ar-SA"/>
        </w:rPr>
        <w:t>请与标准文本核对。 欢迎查看所有</w:t>
      </w:r>
      <w:hyperlink r:id="rId34" w:tgtFrame="_blank" w:history="1">
        <w:r w:rsidR="002D249B">
          <w:rPr>
            <w:rFonts w:eastAsia="Times New Roman"/>
            <w:color w:val="218FC4"/>
            <w:sz w:val="26"/>
            <w:szCs w:val="26"/>
            <w:u w:val="single" w:color="218FC4"/>
            <w:lang w:val="en-US" w:eastAsia="zh-CN" w:bidi="ar-SA"/>
          </w:rPr>
          <w:t>产品和服务</w:t>
        </w:r>
      </w:hyperlink>
      <w:r w:rsidR="002D249B">
        <w:rPr>
          <w:rFonts w:eastAsia="Times New Roman"/>
          <w:sz w:val="26"/>
          <w:szCs w:val="26"/>
          <w:lang w:val="en-US" w:eastAsia="zh-CN" w:bidi="ar-SA"/>
        </w:rPr>
        <w:t>。</w:t>
      </w:r>
      <w:r w:rsidR="002D249B">
        <w:rPr>
          <w:rFonts w:eastAsia="Times New Roman"/>
          <w:sz w:val="26"/>
          <w:szCs w:val="26"/>
          <w:lang w:val="en-US" w:eastAsia="zh-CN" w:bidi="ar-SA"/>
        </w:rPr>
        <w:br/>
      </w:r>
      <w:hyperlink r:id="rId35" w:tgtFrame="_blank" w:history="1">
        <w:r w:rsidR="002D249B">
          <w:rPr>
            <w:rFonts w:eastAsia="Times New Roman"/>
            <w:color w:val="218FC4"/>
            <w:sz w:val="26"/>
            <w:szCs w:val="26"/>
            <w:u w:val="single" w:color="218FC4"/>
            <w:lang w:val="en-US" w:eastAsia="zh-CN" w:bidi="ar-SA"/>
          </w:rPr>
          <w:t>法宝快讯： 如何快速找到您需要的检索结果？ 法宝 V6 有何新特色？</w:t>
        </w:r>
      </w:hyperlink>
    </w:p>
    <w:p w14:paraId="64540217" w14:textId="77777777" w:rsidR="00000000" w:rsidRDefault="002D249B">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36" o:title=""/>
          </v:shape>
        </w:pict>
      </w:r>
    </w:p>
    <w:p w14:paraId="05E127C4" w14:textId="77777777" w:rsidR="00000000" w:rsidRDefault="002D249B">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29BF43E6" w14:textId="77777777" w:rsidR="00000000" w:rsidRDefault="002D249B">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7" w:tgtFrame="_blank" w:history="1">
        <w:r>
          <w:rPr>
            <w:rFonts w:eastAsia="Times New Roman"/>
            <w:color w:val="000000"/>
            <w:sz w:val="26"/>
            <w:szCs w:val="26"/>
            <w:u w:val="single" w:color="000000"/>
            <w:lang w:val="en-US" w:eastAsia="zh-CN" w:bidi="ar-SA"/>
          </w:rPr>
          <w:t xml:space="preserve">https://www.pkulaw.com/pfnl/a25051f3312b07f3ac445990f6936e1edd180b0650ba057cbdfb.html </w:t>
        </w:r>
      </w:hyperlink>
    </w:p>
    <w:p w14:paraId="299CA327" w14:textId="77777777" w:rsidR="00A77B3E" w:rsidRDefault="00A77B3E"/>
    <w:sectPr w:rsidR="00A77B3E">
      <w:headerReference w:type="default" r:id="rId38"/>
      <w:footerReference w:type="default" r:id="rId3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424F3" w14:textId="77777777" w:rsidR="00000000" w:rsidRDefault="002D249B">
      <w:r>
        <w:separator/>
      </w:r>
    </w:p>
  </w:endnote>
  <w:endnote w:type="continuationSeparator" w:id="0">
    <w:p w14:paraId="7B98B770" w14:textId="77777777" w:rsidR="00000000" w:rsidRDefault="002D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1644747" w14:textId="77777777">
      <w:trPr>
        <w:tblCellSpacing w:w="15" w:type="dxa"/>
      </w:trPr>
      <w:tc>
        <w:tcPr>
          <w:tcW w:w="1530" w:type="dxa"/>
          <w:tcMar>
            <w:top w:w="15" w:type="dxa"/>
            <w:left w:w="15" w:type="dxa"/>
            <w:bottom w:w="15" w:type="dxa"/>
            <w:right w:w="15" w:type="dxa"/>
          </w:tcMar>
          <w:vAlign w:val="center"/>
          <w:hideMark/>
        </w:tcPr>
        <w:p w14:paraId="0B64CA5C" w14:textId="77777777" w:rsidR="00000000" w:rsidRDefault="002D249B">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4B3D0F6" w14:textId="77777777" w:rsidR="00000000" w:rsidRDefault="002D249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2F0F6DCC" w14:textId="77777777" w:rsidR="00000000" w:rsidRDefault="002D24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BC56A" w14:textId="77777777" w:rsidR="00000000" w:rsidRDefault="002D249B">
      <w:r>
        <w:separator/>
      </w:r>
    </w:p>
  </w:footnote>
  <w:footnote w:type="continuationSeparator" w:id="0">
    <w:p w14:paraId="2A2C7F75" w14:textId="77777777" w:rsidR="00000000" w:rsidRDefault="002D2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45"/>
      <w:gridCol w:w="5611"/>
    </w:tblGrid>
    <w:tr w:rsidR="00000000" w14:paraId="3DA65652" w14:textId="77777777">
      <w:trPr>
        <w:tblCellSpacing w:w="15" w:type="dxa"/>
      </w:trPr>
      <w:tc>
        <w:tcPr>
          <w:tcW w:w="0" w:type="auto"/>
          <w:tcMar>
            <w:top w:w="15" w:type="dxa"/>
            <w:left w:w="15" w:type="dxa"/>
            <w:bottom w:w="15" w:type="dxa"/>
            <w:right w:w="15" w:type="dxa"/>
          </w:tcMar>
          <w:vAlign w:val="center"/>
          <w:hideMark/>
        </w:tcPr>
        <w:p w14:paraId="35AA5D05" w14:textId="77777777" w:rsidR="00000000" w:rsidRDefault="002D249B">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3BF517F" w14:textId="77777777" w:rsidR="00000000" w:rsidRDefault="002D249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CLI.C.2880832</w:t>
          </w:r>
        </w:p>
      </w:tc>
    </w:tr>
  </w:tbl>
  <w:p w14:paraId="314A51D2" w14:textId="77777777" w:rsidR="00000000" w:rsidRDefault="002D24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D249B"/>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B1FEC"/>
  <w15:chartTrackingRefBased/>
  <w15:docId w15:val="{C2B69E94-5B98-4AB9-A0BE-06F30B5D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D24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D249B"/>
    <w:rPr>
      <w:sz w:val="18"/>
      <w:szCs w:val="18"/>
    </w:rPr>
  </w:style>
  <w:style w:type="paragraph" w:styleId="a5">
    <w:name w:val="footer"/>
    <w:basedOn w:val="a"/>
    <w:link w:val="a6"/>
    <w:rsid w:val="002D249B"/>
    <w:pPr>
      <w:tabs>
        <w:tab w:val="center" w:pos="4153"/>
        <w:tab w:val="right" w:pos="8306"/>
      </w:tabs>
      <w:snapToGrid w:val="0"/>
    </w:pPr>
    <w:rPr>
      <w:sz w:val="18"/>
      <w:szCs w:val="18"/>
    </w:rPr>
  </w:style>
  <w:style w:type="character" w:customStyle="1" w:styleId="a6">
    <w:name w:val="页脚 字符"/>
    <w:basedOn w:val="a0"/>
    <w:link w:val="a5"/>
    <w:rsid w:val="002D24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7f092abe1cd5ab4bdfb.html?way=textSlc" TargetMode="External"/><Relationship Id="rId18" Type="http://schemas.openxmlformats.org/officeDocument/2006/relationships/hyperlink" Target="https://www.pkulaw.com/chl/9be45428dc2a2777bdfb.html?way=textSlc" TargetMode="External"/><Relationship Id="rId26" Type="http://schemas.openxmlformats.org/officeDocument/2006/relationships/hyperlink" Target="https://www.pkulaw.com/chl/68957aaf4c3a793dbdfb.html?way=textSlc" TargetMode="External"/><Relationship Id="rId39" Type="http://schemas.openxmlformats.org/officeDocument/2006/relationships/footer" Target="footer1.xml"/><Relationship Id="rId21" Type="http://schemas.openxmlformats.org/officeDocument/2006/relationships/hyperlink" Target="https://www.pkulaw.com/chl/6f74d5542e86f043bdfb.html?way=textSlc" TargetMode="External"/><Relationship Id="rId34" Type="http://schemas.openxmlformats.org/officeDocument/2006/relationships/hyperlink" Target="http://www.pkulaw.net/" TargetMode="External"/><Relationship Id="rId7" Type="http://schemas.openxmlformats.org/officeDocument/2006/relationships/hyperlink" Target="javascript:LawFirmSearch('&#23433;&#24509;&#24459;&#32500;&#24459;&#24072;&#20107;&#21153;&#25152;')" TargetMode="External"/><Relationship Id="rId2" Type="http://schemas.openxmlformats.org/officeDocument/2006/relationships/styles" Target="styles.xml"/><Relationship Id="rId16" Type="http://schemas.openxmlformats.org/officeDocument/2006/relationships/hyperlink" Target="https://www.pkulaw.com/chl/9be45428dc2a2777bdfb.html?way=textSlc" TargetMode="External"/><Relationship Id="rId20" Type="http://schemas.openxmlformats.org/officeDocument/2006/relationships/hyperlink" Target="https://www.pkulaw.com/chl/6f74d5542e86f043bdfb.html?way=textSlc" TargetMode="External"/><Relationship Id="rId29" Type="http://schemas.openxmlformats.org/officeDocument/2006/relationships/hyperlink" Target="https://www.pkulaw.com/chl/9be45428dc2a2777bdfb.html?way=textSl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68957aaf4c3a793dbdfb.html?way=textSlc" TargetMode="External"/><Relationship Id="rId32" Type="http://schemas.openxmlformats.org/officeDocument/2006/relationships/hyperlink" Target="https://www.pkulaw.com/chl/68957aaf4c3a793dbdfb.html?way=textSlc" TargetMode="External"/><Relationship Id="rId37" Type="http://schemas.openxmlformats.org/officeDocument/2006/relationships/hyperlink" Target="https://www.pkulaw.com/pfnl/a25051f3312b07f3ac445990f6936e1edd180b0650ba057cbdfb.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27f092abe1cd5ab4bdfb.html?way=textSlc" TargetMode="External"/><Relationship Id="rId23" Type="http://schemas.openxmlformats.org/officeDocument/2006/relationships/hyperlink" Target="https://www.pkulaw.com/chl/68957aaf4c3a793dbdfb.html?way=textSlc" TargetMode="External"/><Relationship Id="rId28" Type="http://schemas.openxmlformats.org/officeDocument/2006/relationships/hyperlink" Target="https://www.pkulaw.com/chl/27f092abe1cd5ab4bdfb.html?way=textSlc" TargetMode="External"/><Relationship Id="rId36" Type="http://schemas.openxmlformats.org/officeDocument/2006/relationships/image" Target="media/image1.png"/><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9be45428dc2a2777bdfb.html?way=textSlc" TargetMode="External"/><Relationship Id="rId31" Type="http://schemas.openxmlformats.org/officeDocument/2006/relationships/hyperlink" Target="https://www.pkulaw.com/chl/153a2a2d29d7134e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27f092abe1cd5ab4bdfb.html?way=textSlc" TargetMode="External"/><Relationship Id="rId22" Type="http://schemas.openxmlformats.org/officeDocument/2006/relationships/hyperlink" Target="https://www.pkulaw.com/chl/153a2a2d29d7134ebdfb.html?way=textSlc" TargetMode="External"/><Relationship Id="rId27" Type="http://schemas.openxmlformats.org/officeDocument/2006/relationships/hyperlink" Target="https://www.pkulaw.com/chl/2367b1767194112cbdfb.html?way=textSlc" TargetMode="External"/><Relationship Id="rId30" Type="http://schemas.openxmlformats.org/officeDocument/2006/relationships/hyperlink" Target="https://www.pkulaw.com/chl/6f74d5542e86f043bdfb.html?way=textSlc" TargetMode="External"/><Relationship Id="rId35" Type="http://schemas.openxmlformats.org/officeDocument/2006/relationships/hyperlink" Target="http://www.pkulaw.com/helps/69.html" TargetMode="External"/><Relationship Id="rId8" Type="http://schemas.openxmlformats.org/officeDocument/2006/relationships/hyperlink" Target="https://www.pkulaw.com/chl/2367b1767194112cbdfb.html?way=textSlc" TargetMode="External"/><Relationship Id="rId3" Type="http://schemas.openxmlformats.org/officeDocument/2006/relationships/settings" Target="settings.xm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9be45428dc2a2777bdfb.html?way=textSlc" TargetMode="External"/><Relationship Id="rId25" Type="http://schemas.openxmlformats.org/officeDocument/2006/relationships/hyperlink" Target="https://www.pkulaw.com/chl/68957aaf4c3a793dbdfb.html?way=textSlc" TargetMode="External"/><Relationship Id="rId33" Type="http://schemas.openxmlformats.org/officeDocument/2006/relationships/hyperlink" Target="https://www.pkulaw.com"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2024-05-11T15:46:00Z</dcterms:created>
  <dcterms:modified xsi:type="dcterms:W3CDTF">2024-05-11T15:46:00Z</dcterms:modified>
</cp:coreProperties>
</file>