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C40A" w14:textId="77777777" w:rsidR="00000000" w:rsidRDefault="008D7E57">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季永军诉钱家静民间借贷纠纷案</w:t>
      </w:r>
    </w:p>
    <w:p w14:paraId="1DC68A7A" w14:textId="77777777" w:rsidR="00000000" w:rsidRDefault="008D7E57">
      <w:pPr>
        <w:ind w:left="375" w:right="375"/>
        <w:rPr>
          <w:rFonts w:ascii="Arial" w:eastAsia="Arial" w:hAnsi="Arial" w:cs="Arial"/>
          <w:lang w:val="en-US" w:eastAsia="zh-CN" w:bidi="ar-SA"/>
        </w:rPr>
      </w:pPr>
      <w:r>
        <w:rPr>
          <w:rFonts w:ascii="Arial" w:eastAsia="Arial" w:hAnsi="Arial" w:cs="Arial"/>
          <w:lang w:val="en-US" w:eastAsia="zh-CN" w:bidi="ar-SA"/>
        </w:rPr>
        <w:br/>
      </w:r>
    </w:p>
    <w:p w14:paraId="64BB31CD" w14:textId="77777777" w:rsidR="00000000" w:rsidRDefault="008D7E57">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季永军诉钱家静民间借贷纠纷案</w:t>
      </w:r>
    </w:p>
    <w:p w14:paraId="7C726A3F" w14:textId="77777777" w:rsidR="00000000" w:rsidRDefault="008D7E57">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C62FEDA" w14:textId="77777777" w:rsidR="00000000" w:rsidRDefault="008D7E57">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6360</w:t>
      </w:r>
      <w:r>
        <w:rPr>
          <w:rStyle w:val="span"/>
          <w:rFonts w:ascii="宋体" w:eastAsia="宋体" w:hAnsi="宋体" w:cs="宋体"/>
          <w:color w:val="000000"/>
          <w:sz w:val="27"/>
          <w:szCs w:val="27"/>
          <w:lang w:val="en-US" w:eastAsia="zh-CN" w:bidi="ar-SA"/>
        </w:rPr>
        <w:t>号</w:t>
      </w:r>
    </w:p>
    <w:p w14:paraId="0CD7D6BA" w14:textId="77777777" w:rsidR="00000000" w:rsidRDefault="008D7E57">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原告：季永军。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委托代理人：张方，</w:t>
      </w:r>
      <w:hyperlink r:id="rId7"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委托代理人：张苹苹，</w:t>
      </w:r>
      <w:hyperlink r:id="rId8"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被告：钱</w:t>
      </w:r>
      <w:r>
        <w:rPr>
          <w:rFonts w:ascii="宋体" w:eastAsia="宋体" w:hAnsi="宋体" w:cs="宋体"/>
          <w:color w:val="000000"/>
          <w:sz w:val="27"/>
          <w:szCs w:val="27"/>
          <w:lang w:val="en-US" w:eastAsia="zh-CN" w:bidi="ar-SA"/>
        </w:rPr>
        <w:t>家静。</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原告季永军诉被告钱家静民间借贷纠纷一案，本院于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日立案后，依法适用简易程序，于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日公开开庭进行了审理。原告季永军的委托代理张方、张苹苹，被告钱家静到庭参加诉讼，本案现已审理终结。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原告季永军向本院提出诉讼请求：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、判令被告立即偿还原告借款本金</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35200</w:t>
      </w:r>
      <w:r>
        <w:rPr>
          <w:rFonts w:ascii="宋体" w:eastAsia="宋体" w:hAnsi="宋体" w:cs="宋体"/>
          <w:color w:val="000000"/>
          <w:sz w:val="27"/>
          <w:szCs w:val="27"/>
          <w:lang w:val="en-US" w:eastAsia="zh-CN" w:bidi="ar-SA"/>
        </w:rPr>
        <w:t>元（以</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万元为基数，按月息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日暂计算至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日，以后顺延计算至款清时止）；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、本案诉讼费用由被告承担。事实和理由：</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日，钱家静向季</w:t>
      </w:r>
      <w:r>
        <w:rPr>
          <w:rFonts w:ascii="宋体" w:eastAsia="宋体" w:hAnsi="宋体" w:cs="宋体"/>
          <w:color w:val="000000"/>
          <w:sz w:val="27"/>
          <w:szCs w:val="27"/>
          <w:lang w:val="en-US" w:eastAsia="zh-CN" w:bidi="ar-SA"/>
        </w:rPr>
        <w:t>永军借款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万元，季永军委托妻子钱家荣通过银行转账的方式向钱家静支付</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日，钱家静再次借款</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万元，季永军以相同方式支付。后经季永军催要，钱家静于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日出具借条，载明：本人钱家静于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日借到季永军人民币</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日借到季永军人民币</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万元，合计</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日前所有借条都作废，以此借条为准。上述借款期限为壹年，自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lastRenderedPageBreak/>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日，月利息为壹分，每月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日前付清当月利息，若未能按时支付任何一期利</w:t>
      </w:r>
      <w:r>
        <w:rPr>
          <w:rFonts w:ascii="宋体" w:eastAsia="宋体" w:hAnsi="宋体" w:cs="宋体"/>
          <w:color w:val="000000"/>
          <w:sz w:val="27"/>
          <w:szCs w:val="27"/>
          <w:lang w:val="en-US" w:eastAsia="zh-CN" w:bidi="ar-SA"/>
        </w:rPr>
        <w:t>息，出借人可以要求提前归还本息。若出现违约或逾期，除归还本息外，借款人还应承担律师费、诉讼费、取证费等出借人支出的费用，因本借款产生争议的，同意由合肥市包河区人民法院管辖。借条出具后，钱家静未按约支付利息，也未偿还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被告钱家静承认原告在本案中所主张的事实。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3" w:name="anchor-4"/>
      <w:bookmarkEnd w:id="3"/>
      <w:r>
        <w:rPr>
          <w:rFonts w:ascii="宋体" w:eastAsia="宋体" w:hAnsi="宋体" w:cs="宋体"/>
          <w:color w:val="000000"/>
          <w:sz w:val="27"/>
          <w:szCs w:val="27"/>
          <w:lang w:val="en-US" w:eastAsia="zh-CN" w:bidi="ar-SA"/>
        </w:rPr>
        <w:t xml:space="preserve">　　本院认为，钱家静承认季永军在本案中主张的事实，故对季永军主张的事实予以确认。合法的借贷关系受法律保护。钱家静向季永军借款</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万元，有借条及转账凭证为证，本院予以确认。借条约定借款人逾期偿还利息，出借人可以要求提前归还本息，现钱家静分</w:t>
      </w:r>
      <w:r>
        <w:rPr>
          <w:rFonts w:ascii="宋体" w:eastAsia="宋体" w:hAnsi="宋体" w:cs="宋体"/>
          <w:color w:val="000000"/>
          <w:sz w:val="27"/>
          <w:szCs w:val="27"/>
          <w:lang w:val="en-US" w:eastAsia="zh-CN" w:bidi="ar-SA"/>
        </w:rPr>
        <w:t>文未还，季永军要求其偿还借款本金</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万元及利息，符合双方约定，本院予以支持。双方约定月息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，符合法律规定，钱家静应自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日起以</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万元为基数，按月息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的标准支付利息至本金付清之日止。截至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日，利息为</w:t>
      </w:r>
      <w:r>
        <w:rPr>
          <w:rFonts w:ascii="宋体" w:eastAsia="宋体" w:hAnsi="宋体" w:cs="宋体"/>
          <w:color w:val="000000"/>
          <w:sz w:val="27"/>
          <w:szCs w:val="27"/>
          <w:lang w:val="en-US" w:eastAsia="zh-CN" w:bidi="ar-SA"/>
        </w:rPr>
        <w:t>35200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4" w:name="anchor-7"/>
      <w:bookmarkEnd w:id="4"/>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4"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5" w:name="anchor-2"/>
      <w:bookmarkEnd w:id="5"/>
      <w:r>
        <w:rPr>
          <w:rFonts w:ascii="宋体" w:eastAsia="宋体" w:hAnsi="宋体" w:cs="宋体"/>
          <w:color w:val="000000"/>
          <w:sz w:val="27"/>
          <w:szCs w:val="27"/>
          <w:lang w:val="en-US" w:eastAsia="zh-CN" w:bidi="ar-SA"/>
        </w:rPr>
        <w:t xml:space="preserve">　　被告钱家静于本判决生效之日起十日内偿还原告季永军借</w:t>
      </w:r>
      <w:r>
        <w:rPr>
          <w:rFonts w:ascii="宋体" w:eastAsia="宋体" w:hAnsi="宋体" w:cs="宋体"/>
          <w:color w:val="000000"/>
          <w:sz w:val="27"/>
          <w:szCs w:val="27"/>
          <w:lang w:val="en-US" w:eastAsia="zh-CN" w:bidi="ar-SA"/>
        </w:rPr>
        <w:t>款本金</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万元及截至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日的利息</w:t>
      </w:r>
      <w:r>
        <w:rPr>
          <w:rFonts w:ascii="宋体" w:eastAsia="宋体" w:hAnsi="宋体" w:cs="宋体"/>
          <w:color w:val="000000"/>
          <w:sz w:val="27"/>
          <w:szCs w:val="27"/>
          <w:lang w:val="en-US" w:eastAsia="zh-CN" w:bidi="ar-SA"/>
        </w:rPr>
        <w:t>35200</w:t>
      </w:r>
      <w:r>
        <w:rPr>
          <w:rFonts w:ascii="宋体" w:eastAsia="宋体" w:hAnsi="宋体" w:cs="宋体"/>
          <w:color w:val="000000"/>
          <w:sz w:val="27"/>
          <w:szCs w:val="27"/>
          <w:lang w:val="en-US" w:eastAsia="zh-CN" w:bidi="ar-SA"/>
        </w:rPr>
        <w:t>元，以后的利息以</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万元为基数，按月息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的标准计算至本金付清之日止。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10152</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5076</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4020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9096</w:t>
      </w:r>
      <w:r>
        <w:rPr>
          <w:rFonts w:ascii="宋体" w:eastAsia="宋体" w:hAnsi="宋体" w:cs="宋体"/>
          <w:color w:val="000000"/>
          <w:sz w:val="27"/>
          <w:szCs w:val="27"/>
          <w:lang w:val="en-US" w:eastAsia="zh-CN" w:bidi="ar-SA"/>
        </w:rPr>
        <w:t>元，由被告钱家静负担。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6" w:name="anchor-5"/>
      <w:bookmarkEnd w:id="6"/>
    </w:p>
    <w:p w14:paraId="4F5555C4" w14:textId="77777777" w:rsidR="00000000" w:rsidRDefault="008D7E57">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代理审判员　胡　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二〇一六年九月八日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王丽莉</w:t>
      </w:r>
    </w:p>
    <w:p w14:paraId="17C822E3" w14:textId="77777777" w:rsidR="00000000" w:rsidRDefault="008D7E57">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7" w:name="anchor-6"/>
      <w:bookmarkEnd w:id="7"/>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第一百零七条当事人一方不履行合同义务或正履行合同义务不符合约定的，应当承担继续履行、采取补救措施或者赔偿损失等违约责任。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w:t>
      </w:r>
      <w:r>
        <w:rPr>
          <w:rFonts w:ascii="宋体" w:eastAsia="宋体" w:hAnsi="宋体" w:cs="宋体"/>
          <w:color w:val="000000"/>
          <w:sz w:val="27"/>
          <w:szCs w:val="27"/>
          <w:lang w:val="en-US" w:eastAsia="zh-CN" w:bidi="ar-SA"/>
        </w:rPr>
        <w:t>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w:t>
      </w:r>
      <w:r>
        <w:rPr>
          <w:rFonts w:ascii="宋体" w:eastAsia="宋体" w:hAnsi="宋体" w:cs="宋体"/>
          <w:color w:val="000000"/>
          <w:sz w:val="27"/>
          <w:szCs w:val="27"/>
          <w:lang w:val="en-US" w:eastAsia="zh-CN" w:bidi="ar-SA"/>
        </w:rPr>
        <w:t>倍支付迟延履行期间的债务利息。</w:t>
      </w:r>
      <w:r>
        <w:rPr>
          <w:rFonts w:ascii="宋体" w:eastAsia="宋体" w:hAnsi="宋体" w:cs="宋体"/>
          <w:color w:val="000000"/>
          <w:sz w:val="27"/>
          <w:szCs w:val="27"/>
          <w:lang w:val="en-US" w:eastAsia="zh-CN" w:bidi="ar-SA"/>
        </w:rPr>
        <w:t xml:space="preserve"> </w:t>
      </w:r>
    </w:p>
    <w:p w14:paraId="73EF1A68" w14:textId="77777777" w:rsidR="00000000" w:rsidRDefault="008D7E57">
      <w:pPr>
        <w:ind w:left="375" w:right="375"/>
        <w:rPr>
          <w:rFonts w:ascii="Arial" w:eastAsia="Arial" w:hAnsi="Arial" w:cs="Arial"/>
          <w:lang w:val="en-US" w:eastAsia="zh-CN" w:bidi="ar-SA"/>
        </w:rPr>
      </w:pPr>
      <w:r>
        <w:rPr>
          <w:rFonts w:ascii="Arial" w:eastAsia="Arial" w:hAnsi="Arial" w:cs="Arial"/>
          <w:lang w:val="en-US" w:eastAsia="zh-CN" w:bidi="ar-SA"/>
        </w:rPr>
        <w:br/>
      </w:r>
    </w:p>
    <w:p w14:paraId="36D4ED9C" w14:textId="77777777" w:rsidR="00000000" w:rsidRDefault="00A77B3E">
      <w:pPr>
        <w:spacing w:line="630" w:lineRule="atLeast"/>
        <w:rPr>
          <w:rFonts w:eastAsia="Times New Roman"/>
          <w:sz w:val="26"/>
          <w:szCs w:val="26"/>
          <w:lang w:val="en-US" w:eastAsia="zh-CN" w:bidi="ar-SA"/>
        </w:rPr>
      </w:pPr>
      <w:r>
        <w:br w:type="page"/>
      </w:r>
      <w:r w:rsidR="008D7E57">
        <w:rPr>
          <w:rFonts w:eastAsia="Times New Roman"/>
          <w:sz w:val="26"/>
          <w:szCs w:val="26"/>
          <w:lang w:val="en-US" w:eastAsia="zh-CN" w:bidi="ar-SA"/>
        </w:rPr>
        <w:t>©北大法宝：（</w:t>
      </w:r>
      <w:hyperlink r:id="rId20" w:history="1">
        <w:r w:rsidR="008D7E57">
          <w:rPr>
            <w:rFonts w:eastAsia="Times New Roman"/>
            <w:color w:val="218FC4"/>
            <w:sz w:val="26"/>
            <w:szCs w:val="26"/>
            <w:u w:val="single" w:color="218FC4"/>
            <w:lang w:val="en-US" w:eastAsia="zh-CN" w:bidi="ar-SA"/>
          </w:rPr>
          <w:t>www.pkulaw.com</w:t>
        </w:r>
      </w:hyperlink>
      <w:r w:rsidR="008D7E57">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1" w:tgtFrame="_blank" w:history="1">
        <w:r w:rsidR="008D7E57">
          <w:rPr>
            <w:rFonts w:eastAsia="Times New Roman"/>
            <w:color w:val="218FC4"/>
            <w:sz w:val="26"/>
            <w:szCs w:val="26"/>
            <w:u w:val="single" w:color="218FC4"/>
            <w:lang w:val="en-US" w:eastAsia="zh-CN" w:bidi="ar-SA"/>
          </w:rPr>
          <w:t>产品和服务</w:t>
        </w:r>
      </w:hyperlink>
      <w:r w:rsidR="008D7E57">
        <w:rPr>
          <w:rFonts w:eastAsia="Times New Roman"/>
          <w:sz w:val="26"/>
          <w:szCs w:val="26"/>
          <w:lang w:val="en-US" w:eastAsia="zh-CN" w:bidi="ar-SA"/>
        </w:rPr>
        <w:t>。</w:t>
      </w:r>
      <w:r w:rsidR="008D7E57">
        <w:rPr>
          <w:rFonts w:eastAsia="Times New Roman"/>
          <w:sz w:val="26"/>
          <w:szCs w:val="26"/>
          <w:lang w:val="en-US" w:eastAsia="zh-CN" w:bidi="ar-SA"/>
        </w:rPr>
        <w:br/>
      </w:r>
      <w:hyperlink r:id="rId22" w:tgtFrame="_blank" w:history="1">
        <w:r w:rsidR="008D7E57">
          <w:rPr>
            <w:rFonts w:eastAsia="Times New Roman"/>
            <w:color w:val="218FC4"/>
            <w:sz w:val="26"/>
            <w:szCs w:val="26"/>
            <w:u w:val="single" w:color="218FC4"/>
            <w:lang w:val="en-US" w:eastAsia="zh-CN" w:bidi="ar-SA"/>
          </w:rPr>
          <w:t>法宝快讯： 如何快速找到您需要的检索结果？ 法宝 V6 有何新特色？</w:t>
        </w:r>
      </w:hyperlink>
    </w:p>
    <w:p w14:paraId="21AC4DD2" w14:textId="77777777" w:rsidR="00000000" w:rsidRDefault="008D7E57">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3" o:title=""/>
          </v:shape>
        </w:pict>
      </w:r>
    </w:p>
    <w:p w14:paraId="6A322417" w14:textId="77777777" w:rsidR="00000000" w:rsidRDefault="008D7E57">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09F660B" w14:textId="77777777" w:rsidR="00000000" w:rsidRDefault="008D7E57">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4" w:tgtFrame="_blank" w:history="1">
        <w:r>
          <w:rPr>
            <w:rFonts w:eastAsia="Times New Roman"/>
            <w:color w:val="000000"/>
            <w:sz w:val="26"/>
            <w:szCs w:val="26"/>
            <w:u w:val="single" w:color="000000"/>
            <w:lang w:val="en-US" w:eastAsia="zh-CN" w:bidi="ar-SA"/>
          </w:rPr>
          <w:t>https://www.pkulaw.com/pfnl/a25051f3312b07f3031f487f1582bd0ab57c9be7390</w:t>
        </w:r>
        <w:r>
          <w:rPr>
            <w:rFonts w:eastAsia="Times New Roman"/>
            <w:color w:val="000000"/>
            <w:sz w:val="26"/>
            <w:szCs w:val="26"/>
            <w:u w:val="single" w:color="000000"/>
            <w:lang w:val="en-US" w:eastAsia="zh-CN" w:bidi="ar-SA"/>
          </w:rPr>
          <w:t xml:space="preserve">43bd9bdfb.html </w:t>
        </w:r>
      </w:hyperlink>
    </w:p>
    <w:p w14:paraId="1E1A65C0" w14:textId="77777777" w:rsidR="00A77B3E" w:rsidRDefault="00A77B3E"/>
    <w:sectPr w:rsidR="00A77B3E">
      <w:headerReference w:type="default" r:id="rId25"/>
      <w:footerReference w:type="default" r:id="rId2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6CF6" w14:textId="77777777" w:rsidR="00000000" w:rsidRDefault="008D7E57">
      <w:r>
        <w:separator/>
      </w:r>
    </w:p>
  </w:endnote>
  <w:endnote w:type="continuationSeparator" w:id="0">
    <w:p w14:paraId="646226D6" w14:textId="77777777" w:rsidR="00000000" w:rsidRDefault="008D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EDA98AF" w14:textId="77777777">
      <w:trPr>
        <w:tblCellSpacing w:w="15" w:type="dxa"/>
      </w:trPr>
      <w:tc>
        <w:tcPr>
          <w:tcW w:w="1530" w:type="dxa"/>
          <w:tcMar>
            <w:top w:w="15" w:type="dxa"/>
            <w:left w:w="15" w:type="dxa"/>
            <w:bottom w:w="15" w:type="dxa"/>
            <w:right w:w="15" w:type="dxa"/>
          </w:tcMar>
          <w:vAlign w:val="center"/>
          <w:hideMark/>
        </w:tcPr>
        <w:p w14:paraId="3A0BA5FB" w14:textId="77777777" w:rsidR="00000000" w:rsidRDefault="008D7E57">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BEB59A2" w14:textId="77777777" w:rsidR="00000000" w:rsidRDefault="008D7E5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63203CBA" w14:textId="77777777" w:rsidR="00000000" w:rsidRDefault="008D7E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419A" w14:textId="77777777" w:rsidR="00000000" w:rsidRDefault="008D7E57">
      <w:r>
        <w:separator/>
      </w:r>
    </w:p>
  </w:footnote>
  <w:footnote w:type="continuationSeparator" w:id="0">
    <w:p w14:paraId="36679473" w14:textId="77777777" w:rsidR="00000000" w:rsidRDefault="008D7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975F024" w14:textId="77777777">
      <w:trPr>
        <w:tblCellSpacing w:w="15" w:type="dxa"/>
      </w:trPr>
      <w:tc>
        <w:tcPr>
          <w:tcW w:w="0" w:type="auto"/>
          <w:tcMar>
            <w:top w:w="15" w:type="dxa"/>
            <w:left w:w="15" w:type="dxa"/>
            <w:bottom w:w="15" w:type="dxa"/>
            <w:right w:w="15" w:type="dxa"/>
          </w:tcMar>
          <w:vAlign w:val="center"/>
          <w:hideMark/>
        </w:tcPr>
        <w:p w14:paraId="49CFD422" w14:textId="77777777" w:rsidR="00000000" w:rsidRDefault="008D7E57">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509F12C" w14:textId="77777777" w:rsidR="00000000" w:rsidRDefault="008D7E5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CLI.C.36923179</w:t>
          </w:r>
        </w:p>
      </w:tc>
    </w:tr>
  </w:tbl>
  <w:p w14:paraId="2C8A4FAC" w14:textId="77777777" w:rsidR="00000000" w:rsidRDefault="008D7E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D7E57"/>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4A1EB"/>
  <w15:chartTrackingRefBased/>
  <w15:docId w15:val="{F52F0A49-93D7-4045-B182-0091862F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8D7E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E57"/>
    <w:rPr>
      <w:sz w:val="18"/>
      <w:szCs w:val="18"/>
    </w:rPr>
  </w:style>
  <w:style w:type="paragraph" w:styleId="a5">
    <w:name w:val="footer"/>
    <w:basedOn w:val="a"/>
    <w:link w:val="a6"/>
    <w:rsid w:val="008D7E57"/>
    <w:pPr>
      <w:tabs>
        <w:tab w:val="center" w:pos="4153"/>
        <w:tab w:val="right" w:pos="8306"/>
      </w:tabs>
      <w:snapToGrid w:val="0"/>
    </w:pPr>
    <w:rPr>
      <w:sz w:val="18"/>
      <w:szCs w:val="18"/>
    </w:rPr>
  </w:style>
  <w:style w:type="character" w:customStyle="1" w:styleId="a6">
    <w:name w:val="页脚 字符"/>
    <w:basedOn w:val="a0"/>
    <w:link w:val="a5"/>
    <w:rsid w:val="008D7E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0013;&#22825;&#24658;&#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pkulaw.net/" TargetMode="External"/><Relationship Id="rId7" Type="http://schemas.openxmlformats.org/officeDocument/2006/relationships/hyperlink" Target="javascript:LawFirmSearch('&#23433;&#24509;&#20013;&#22825;&#24658;&#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27f092abe1cd5ab4bdfb.html?way=textSl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pfnl/a25051f3312b07f3031f487f1582bd0ab57c9be739043bd9bdfb.html" TargetMode="Externa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www.pkulaw.com/helps/69.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