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159D" w14:textId="77777777" w:rsidR="00971B1C" w:rsidRDefault="00971B1C">
      <w:pPr>
        <w:spacing w:before="10" w:after="10" w:line="500" w:lineRule="atLeast"/>
        <w:jc w:val="center"/>
        <w:rPr>
          <w:rFonts w:ascii="黑体" w:eastAsia="黑体" w:cs="黑体"/>
          <w:sz w:val="36"/>
          <w:szCs w:val="36"/>
        </w:rPr>
      </w:pPr>
      <w:r>
        <w:rPr>
          <w:rFonts w:ascii="黑体" w:eastAsia="黑体" w:cs="黑体" w:hint="eastAsia"/>
          <w:sz w:val="36"/>
          <w:szCs w:val="36"/>
        </w:rPr>
        <w:t>安徽省合肥市瑶海区人民法院</w:t>
      </w:r>
    </w:p>
    <w:p w14:paraId="11522518" w14:textId="77777777" w:rsidR="00971B1C" w:rsidRDefault="00971B1C">
      <w:pPr>
        <w:spacing w:before="10" w:after="10" w:line="500" w:lineRule="atLeast"/>
        <w:jc w:val="center"/>
        <w:rPr>
          <w:rFonts w:ascii="黑体" w:eastAsia="黑体" w:cs="黑体" w:hint="eastAsia"/>
          <w:sz w:val="36"/>
          <w:szCs w:val="36"/>
        </w:rPr>
      </w:pPr>
      <w:r>
        <w:rPr>
          <w:rFonts w:ascii="黑体" w:eastAsia="黑体" w:cs="黑体" w:hint="eastAsia"/>
          <w:sz w:val="36"/>
          <w:szCs w:val="36"/>
        </w:rPr>
        <w:t>民 事 判 决 书</w:t>
      </w:r>
    </w:p>
    <w:p w14:paraId="1765C357" w14:textId="77777777" w:rsidR="00971B1C" w:rsidRDefault="00971B1C">
      <w:pPr>
        <w:spacing w:before="10" w:after="10" w:line="500" w:lineRule="atLeast"/>
        <w:jc w:val="right"/>
        <w:rPr>
          <w:rFonts w:cs="宋体" w:hint="eastAsia"/>
          <w:sz w:val="30"/>
          <w:szCs w:val="30"/>
        </w:rPr>
      </w:pPr>
      <w:r>
        <w:rPr>
          <w:rFonts w:cs="宋体" w:hint="eastAsia"/>
          <w:sz w:val="30"/>
          <w:szCs w:val="30"/>
        </w:rPr>
        <w:t>(2018)皖0102民初5013号</w:t>
      </w:r>
    </w:p>
    <w:p w14:paraId="3603AE3B" w14:textId="77777777" w:rsidR="00971B1C" w:rsidRPr="00A93407" w:rsidRDefault="00971B1C">
      <w:pPr>
        <w:spacing w:before="10" w:after="10" w:line="500" w:lineRule="atLeast"/>
        <w:ind w:firstLine="600"/>
        <w:rPr>
          <w:rFonts w:cs="宋体" w:hint="eastAsia"/>
          <w:sz w:val="30"/>
          <w:szCs w:val="30"/>
        </w:rPr>
      </w:pPr>
      <w:r>
        <w:rPr>
          <w:rFonts w:cs="宋体" w:hint="eastAsia"/>
          <w:sz w:val="30"/>
          <w:szCs w:val="30"/>
        </w:rPr>
        <w:t>原告：陶</w:t>
      </w:r>
      <w:r w:rsidRPr="00A93407">
        <w:rPr>
          <w:rFonts w:cs="宋体" w:hint="eastAsia"/>
          <w:sz w:val="30"/>
          <w:szCs w:val="30"/>
        </w:rPr>
        <w:t>太平，男，1971年5月14日出生，汉族，住安徽省安庆市宿松县。</w:t>
      </w:r>
    </w:p>
    <w:p w14:paraId="463FEE2A"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委托诉讼代理人：邵卫星，安徽睿正律师事务所律师。</w:t>
      </w:r>
    </w:p>
    <w:p w14:paraId="1DA0AE35"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委托诉讼代理人：刘文，安徽睿正律师事务所实习律师。</w:t>
      </w:r>
    </w:p>
    <w:p w14:paraId="3847DEC7"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被告：洪志刚，男，1973年4月10日出生，汉族，户籍地安徽省合肥市瑶海区，实际居住地安徽省合肥市包河区。</w:t>
      </w:r>
    </w:p>
    <w:p w14:paraId="383A429F"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原告陶太平与被告洪志刚民间借贷纠纷一案，本院于2018年5月18日立案后，依法适用普通程序，公开开庭进行了审理。原告陶太平的委托诉讼代理人邵卫星到庭参加诉讼。</w:t>
      </w:r>
      <w:r w:rsidRPr="00A93407">
        <w:rPr>
          <w:rFonts w:cs="宋体" w:hint="eastAsia"/>
          <w:sz w:val="30"/>
          <w:szCs w:val="30"/>
          <w:highlight w:val="yellow"/>
        </w:rPr>
        <w:t>被告洪志刚经公告送达开庭传票，未到庭参加诉讼。</w:t>
      </w:r>
      <w:r w:rsidRPr="00A93407">
        <w:rPr>
          <w:rFonts w:cs="宋体" w:hint="eastAsia"/>
          <w:sz w:val="30"/>
          <w:szCs w:val="30"/>
        </w:rPr>
        <w:t>本案现已审理终结。</w:t>
      </w:r>
    </w:p>
    <w:p w14:paraId="2E1AAECC" w14:textId="77777777" w:rsidR="00537AAB" w:rsidRPr="00A93407" w:rsidRDefault="00971B1C">
      <w:pPr>
        <w:spacing w:before="10" w:after="10" w:line="500" w:lineRule="atLeast"/>
        <w:ind w:firstLine="600"/>
        <w:rPr>
          <w:rFonts w:cs="宋体" w:hint="eastAsia"/>
          <w:sz w:val="30"/>
          <w:szCs w:val="30"/>
        </w:rPr>
      </w:pPr>
      <w:r w:rsidRPr="00A93407">
        <w:rPr>
          <w:rFonts w:cs="宋体" w:hint="eastAsia"/>
          <w:sz w:val="30"/>
          <w:szCs w:val="30"/>
        </w:rPr>
        <w:t>陶太平向本院提出诉讼请求：</w:t>
      </w:r>
    </w:p>
    <w:p w14:paraId="50B08434" w14:textId="77777777" w:rsidR="00537AAB" w:rsidRPr="00A93407" w:rsidRDefault="00971B1C">
      <w:pPr>
        <w:spacing w:before="10" w:after="10" w:line="500" w:lineRule="atLeast"/>
        <w:ind w:firstLine="600"/>
        <w:rPr>
          <w:rFonts w:cs="宋体" w:hint="eastAsia"/>
          <w:sz w:val="30"/>
          <w:szCs w:val="30"/>
        </w:rPr>
      </w:pPr>
      <w:r w:rsidRPr="00A93407">
        <w:rPr>
          <w:rFonts w:cs="宋体" w:hint="eastAsia"/>
          <w:sz w:val="30"/>
          <w:szCs w:val="30"/>
        </w:rPr>
        <w:t>1、</w:t>
      </w:r>
      <w:r w:rsidRPr="00A93407">
        <w:rPr>
          <w:rFonts w:cs="宋体" w:hint="eastAsia"/>
          <w:sz w:val="30"/>
          <w:szCs w:val="30"/>
          <w:highlight w:val="yellow"/>
        </w:rPr>
        <w:t>判令洪志刚偿还借款本金41万元</w:t>
      </w:r>
      <w:r w:rsidRPr="00A93407">
        <w:rPr>
          <w:rFonts w:cs="宋体" w:hint="eastAsia"/>
          <w:sz w:val="30"/>
          <w:szCs w:val="30"/>
        </w:rPr>
        <w:t>并支付</w:t>
      </w:r>
      <w:r w:rsidRPr="00A93407">
        <w:rPr>
          <w:rFonts w:cs="宋体" w:hint="eastAsia"/>
          <w:sz w:val="30"/>
          <w:szCs w:val="30"/>
          <w:highlight w:val="yellow"/>
        </w:rPr>
        <w:t>利息（利息从2017年4月1日起按照中国人民银行公布的同期贷款利率标准暂计算至2018年5月1日为21764元，其余利息计算至实际偿还之日止，本金利息暂计为431764元</w:t>
      </w:r>
      <w:r w:rsidRPr="00A93407">
        <w:rPr>
          <w:rFonts w:cs="宋体" w:hint="eastAsia"/>
          <w:sz w:val="30"/>
          <w:szCs w:val="30"/>
        </w:rPr>
        <w:t>;</w:t>
      </w:r>
    </w:p>
    <w:p w14:paraId="1ECC8C4B"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2、判令洪志刚</w:t>
      </w:r>
      <w:r w:rsidRPr="00A93407">
        <w:rPr>
          <w:rFonts w:cs="宋体" w:hint="eastAsia"/>
          <w:sz w:val="30"/>
          <w:szCs w:val="30"/>
          <w:highlight w:val="yellow"/>
        </w:rPr>
        <w:t>承担本案全部诉讼费、保全费以及公告费用</w:t>
      </w:r>
      <w:r w:rsidRPr="00A93407">
        <w:rPr>
          <w:rFonts w:cs="宋体" w:hint="eastAsia"/>
          <w:sz w:val="30"/>
          <w:szCs w:val="30"/>
        </w:rPr>
        <w:t>。诉讼中，陶太平</w:t>
      </w:r>
      <w:r w:rsidRPr="00A93407">
        <w:rPr>
          <w:rFonts w:cs="宋体" w:hint="eastAsia"/>
          <w:sz w:val="30"/>
          <w:szCs w:val="30"/>
          <w:highlight w:val="yellow"/>
        </w:rPr>
        <w:t>放弃对保全费的主张</w:t>
      </w:r>
      <w:r w:rsidRPr="00A93407">
        <w:rPr>
          <w:rFonts w:cs="宋体" w:hint="eastAsia"/>
          <w:sz w:val="30"/>
          <w:szCs w:val="30"/>
        </w:rPr>
        <w:t>。</w:t>
      </w:r>
    </w:p>
    <w:p w14:paraId="282EE513" w14:textId="77777777" w:rsidR="00537AAB" w:rsidRPr="00A93407" w:rsidRDefault="00971B1C">
      <w:pPr>
        <w:spacing w:before="10" w:after="10" w:line="500" w:lineRule="atLeast"/>
        <w:ind w:firstLine="600"/>
        <w:rPr>
          <w:rFonts w:cs="宋体" w:hint="eastAsia"/>
          <w:sz w:val="30"/>
          <w:szCs w:val="30"/>
        </w:rPr>
      </w:pPr>
      <w:r w:rsidRPr="00A93407">
        <w:rPr>
          <w:rFonts w:cs="宋体" w:hint="eastAsia"/>
          <w:sz w:val="30"/>
          <w:szCs w:val="30"/>
        </w:rPr>
        <w:t>事实与理由：</w:t>
      </w:r>
    </w:p>
    <w:p w14:paraId="2A16DCDA"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highlight w:val="yellow"/>
        </w:rPr>
        <w:t>双方系朋友</w:t>
      </w:r>
      <w:r w:rsidRPr="00A93407">
        <w:rPr>
          <w:rFonts w:cs="宋体" w:hint="eastAsia"/>
          <w:sz w:val="30"/>
          <w:szCs w:val="30"/>
        </w:rPr>
        <w:t>，</w:t>
      </w:r>
      <w:r w:rsidRPr="00A93407">
        <w:rPr>
          <w:rFonts w:cs="宋体" w:hint="eastAsia"/>
          <w:sz w:val="30"/>
          <w:szCs w:val="30"/>
          <w:highlight w:val="yellow"/>
        </w:rPr>
        <w:t>洪志刚因承包建设工程缺少资金多次向陶太平借款</w:t>
      </w:r>
      <w:r w:rsidRPr="00A93407">
        <w:rPr>
          <w:rFonts w:cs="宋体" w:hint="eastAsia"/>
          <w:sz w:val="30"/>
          <w:szCs w:val="30"/>
        </w:rPr>
        <w:t>。</w:t>
      </w:r>
      <w:r w:rsidRPr="00A93407">
        <w:rPr>
          <w:rFonts w:cs="宋体" w:hint="eastAsia"/>
          <w:sz w:val="30"/>
          <w:szCs w:val="30"/>
          <w:highlight w:val="yellow"/>
        </w:rPr>
        <w:t>陶太平先后于2016年4月16日、4月21日、10月31日通过银行转账方式向洪志刚交付借款计41万元</w:t>
      </w:r>
      <w:r w:rsidRPr="00A93407">
        <w:rPr>
          <w:rFonts w:cs="宋体" w:hint="eastAsia"/>
          <w:sz w:val="30"/>
          <w:szCs w:val="30"/>
        </w:rPr>
        <w:t>。后经多次催要，</w:t>
      </w:r>
      <w:r w:rsidRPr="00A93407">
        <w:rPr>
          <w:rFonts w:cs="宋体" w:hint="eastAsia"/>
          <w:sz w:val="30"/>
          <w:szCs w:val="30"/>
          <w:highlight w:val="yellow"/>
        </w:rPr>
        <w:t>洪志刚于2016年12月14日向陶太平出具了借条，借条内容为：洪志刚借到陶太平人民币41万元，于2017年3月份还清</w:t>
      </w:r>
      <w:r w:rsidRPr="00A93407">
        <w:rPr>
          <w:rFonts w:cs="宋体" w:hint="eastAsia"/>
          <w:sz w:val="30"/>
          <w:szCs w:val="30"/>
        </w:rPr>
        <w:t>。陶太平已按约定的数额将借款汇至洪志刚账户，履行了出借义务,洪</w:t>
      </w:r>
      <w:r w:rsidRPr="00A93407">
        <w:rPr>
          <w:rFonts w:cs="宋体" w:hint="eastAsia"/>
          <w:sz w:val="30"/>
          <w:szCs w:val="30"/>
        </w:rPr>
        <w:lastRenderedPageBreak/>
        <w:t>志刚未按约定的时间归还借款，已侵害了陶太平的合法权益。陶太平多次索款无果，无奈之下诉至法院，望判如所请。</w:t>
      </w:r>
    </w:p>
    <w:p w14:paraId="4A234D98"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highlight w:val="yellow"/>
        </w:rPr>
        <w:t>洪志刚未作答辩</w:t>
      </w:r>
      <w:r w:rsidRPr="00A93407">
        <w:rPr>
          <w:rFonts w:cs="宋体" w:hint="eastAsia"/>
          <w:sz w:val="30"/>
          <w:szCs w:val="30"/>
        </w:rPr>
        <w:t>。</w:t>
      </w:r>
    </w:p>
    <w:p w14:paraId="4764951D"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原告陶太平围绕其诉讼请求提交了借条、银行交易记录，被告洪志刚未到庭提出异议，上述证据具有客观性、合法性、关联性，本院予以认定。</w:t>
      </w:r>
    </w:p>
    <w:p w14:paraId="78B94BA7" w14:textId="77777777" w:rsidR="00537AAB" w:rsidRPr="00A93407" w:rsidRDefault="00971B1C">
      <w:pPr>
        <w:spacing w:before="10" w:after="10" w:line="500" w:lineRule="atLeast"/>
        <w:ind w:firstLine="600"/>
        <w:rPr>
          <w:rFonts w:cs="宋体" w:hint="eastAsia"/>
          <w:sz w:val="30"/>
          <w:szCs w:val="30"/>
        </w:rPr>
      </w:pPr>
      <w:r w:rsidRPr="00A93407">
        <w:rPr>
          <w:rFonts w:cs="宋体" w:hint="eastAsia"/>
          <w:sz w:val="30"/>
          <w:szCs w:val="30"/>
        </w:rPr>
        <w:t>本院经审理认定事实如下：</w:t>
      </w:r>
    </w:p>
    <w:p w14:paraId="779848DD"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highlight w:val="yellow"/>
        </w:rPr>
        <w:t>2016年，洪志刚因缺少周转资金向陶太平借款。陶太平先后于2016年4月16日、2016年4月21日、2016年10月31日分七次向洪志刚的银行账户汇款计41万元。2016年12月14日,洪志刚向陶太平出具一张借条</w:t>
      </w:r>
      <w:r w:rsidRPr="00A93407">
        <w:rPr>
          <w:rFonts w:cs="宋体" w:hint="eastAsia"/>
          <w:sz w:val="30"/>
          <w:szCs w:val="30"/>
        </w:rPr>
        <w:t>，借条载明：</w:t>
      </w:r>
      <w:r w:rsidRPr="00A93407">
        <w:rPr>
          <w:rFonts w:cs="宋体" w:hint="eastAsia"/>
          <w:sz w:val="30"/>
          <w:szCs w:val="30"/>
          <w:highlight w:val="yellow"/>
        </w:rPr>
        <w:t>今借到陶太平人民币41万元，于2017年3月份归还付清。</w:t>
      </w:r>
      <w:r w:rsidRPr="00A93407">
        <w:rPr>
          <w:rFonts w:cs="宋体" w:hint="eastAsia"/>
          <w:sz w:val="30"/>
          <w:szCs w:val="30"/>
        </w:rPr>
        <w:t>之后，洪志刚未按期还款，陶太平索款未果，遂诉讼来院。</w:t>
      </w:r>
    </w:p>
    <w:p w14:paraId="28304896"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本院认为：合法的借贷关系应受法律保护。陶太平同洪志刚达成借贷合意后，已交付借款41万元，双方之间成立民间借贷关系。陶太平主张洪志刚欠其借款41万元未还，已提供借条及银行交易凭证在案佐证，洪志刚既未到庭抗辩，也未提供证据反驳，本院对陶太平主张的事实依法予以认定。</w:t>
      </w:r>
    </w:p>
    <w:p w14:paraId="5F5D7789" w14:textId="77777777" w:rsidR="00537AAB" w:rsidRPr="00A93407" w:rsidRDefault="00971B1C">
      <w:pPr>
        <w:spacing w:before="10" w:after="10" w:line="500" w:lineRule="atLeast"/>
        <w:ind w:firstLine="600"/>
        <w:rPr>
          <w:rFonts w:cs="宋体" w:hint="eastAsia"/>
          <w:sz w:val="30"/>
          <w:szCs w:val="30"/>
        </w:rPr>
      </w:pPr>
      <w:r w:rsidRPr="00A93407">
        <w:rPr>
          <w:rFonts w:cs="宋体" w:hint="eastAsia"/>
          <w:sz w:val="30"/>
          <w:szCs w:val="30"/>
        </w:rPr>
        <w:t>根据法律规定，借款人应当按照约定的期限返还借款。洪志刚已于借条中载明2017年3月份归还借款，其未按照约定的期限于2017年3月还款，违反了双方约定，现陶太平要求其归还借款41万元，符合法律规定，应予以支持。</w:t>
      </w:r>
    </w:p>
    <w:p w14:paraId="1FBFA2D4"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洪志刚未按期还款，给陶太平造成了损失，陶太平主张自逾期还款之日2017年4月1日起按照中国人民银行公布的同期同类贷款利率标准支付利息至借款还清之日止，符合法律规定，本院予以支持。被告洪志刚经本院合法传唤无正当理由拒不到庭参加诉讼，应自行承担相应的法律后果。</w:t>
      </w:r>
    </w:p>
    <w:p w14:paraId="15D6739D"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综上，依照《中华人民共和国合同法》第二百零六条、第二百零七条、《中华人民共和国民事诉讼法》第一百四十四条的规定，判决如下：</w:t>
      </w:r>
    </w:p>
    <w:p w14:paraId="5F1E0448"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highlight w:val="yellow"/>
        </w:rPr>
        <w:t>被告洪志刚于本判决生效之日起十日内返还原告陶太平借款41万元</w:t>
      </w:r>
      <w:r w:rsidRPr="00A93407">
        <w:rPr>
          <w:rFonts w:cs="宋体" w:hint="eastAsia"/>
          <w:sz w:val="30"/>
          <w:szCs w:val="30"/>
        </w:rPr>
        <w:t>，并</w:t>
      </w:r>
      <w:r w:rsidRPr="00A93407">
        <w:rPr>
          <w:rFonts w:cs="宋体" w:hint="eastAsia"/>
          <w:sz w:val="30"/>
          <w:szCs w:val="30"/>
          <w:highlight w:val="yellow"/>
        </w:rPr>
        <w:t>按照中国人民银行公布的同期同类贷款基准利率支付自2017年4月1日起至借款还清之日止的利息</w:t>
      </w:r>
      <w:r w:rsidRPr="00A93407">
        <w:rPr>
          <w:rFonts w:cs="宋体" w:hint="eastAsia"/>
          <w:sz w:val="30"/>
          <w:szCs w:val="30"/>
        </w:rPr>
        <w:t>。</w:t>
      </w:r>
    </w:p>
    <w:p w14:paraId="1D972B7B"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rPr>
        <w:t>如果未按本判决指定的期间履行金钱给付义务，应当依照《中华人民共和国民事诉讼法》第二百五十三条之规定，加倍支付迟延履行期间的债务利息。</w:t>
      </w:r>
    </w:p>
    <w:p w14:paraId="4B6BC1AF" w14:textId="77777777" w:rsidR="00971B1C" w:rsidRPr="00A93407" w:rsidRDefault="00971B1C">
      <w:pPr>
        <w:spacing w:before="10" w:after="10" w:line="500" w:lineRule="atLeast"/>
        <w:ind w:firstLine="600"/>
        <w:rPr>
          <w:rFonts w:cs="宋体" w:hint="eastAsia"/>
          <w:sz w:val="30"/>
          <w:szCs w:val="30"/>
        </w:rPr>
      </w:pPr>
      <w:r w:rsidRPr="00A93407">
        <w:rPr>
          <w:rFonts w:cs="宋体" w:hint="eastAsia"/>
          <w:sz w:val="30"/>
          <w:szCs w:val="30"/>
          <w:highlight w:val="yellow"/>
        </w:rPr>
        <w:t>案件受理费7780元，公告费800元，由被告洪志刚承担</w:t>
      </w:r>
      <w:r w:rsidRPr="00A93407">
        <w:rPr>
          <w:rFonts w:cs="宋体" w:hint="eastAsia"/>
          <w:sz w:val="30"/>
          <w:szCs w:val="30"/>
        </w:rPr>
        <w:t>。</w:t>
      </w:r>
    </w:p>
    <w:p w14:paraId="7FF232A8" w14:textId="77777777" w:rsidR="00A93407" w:rsidRDefault="00971B1C" w:rsidP="00543CCE">
      <w:pPr>
        <w:spacing w:before="10" w:after="10" w:line="500" w:lineRule="atLeast"/>
        <w:ind w:right="720"/>
        <w:jc w:val="both"/>
        <w:rPr>
          <w:rFonts w:cs="宋体" w:hint="eastAsia"/>
          <w:sz w:val="30"/>
          <w:szCs w:val="30"/>
        </w:rPr>
      </w:pPr>
      <w:r w:rsidRPr="00A93407">
        <w:rPr>
          <w:rFonts w:cs="宋体" w:hint="eastAsia"/>
          <w:sz w:val="30"/>
          <w:szCs w:val="30"/>
        </w:rPr>
        <w:t>如不服本判决，可以在判决书送达之日起十五日内向本院递交上诉状，并按照对方当事人或者代表人的人数提出副本，上诉于安徽省合肥市中级人民法院。</w:t>
      </w:r>
    </w:p>
    <w:p w14:paraId="098E604E" w14:textId="77777777" w:rsidR="00A93407" w:rsidRDefault="00A93407" w:rsidP="00A93407">
      <w:pPr>
        <w:spacing w:before="10" w:after="10" w:line="500" w:lineRule="atLeast"/>
        <w:ind w:right="720"/>
        <w:jc w:val="right"/>
        <w:rPr>
          <w:sz w:val="30"/>
          <w:szCs w:val="30"/>
        </w:rPr>
      </w:pPr>
      <w:r>
        <w:rPr>
          <w:rFonts w:hint="eastAsia"/>
          <w:sz w:val="30"/>
          <w:szCs w:val="30"/>
        </w:rPr>
        <w:t>审 判 长  赵先娥</w:t>
      </w:r>
    </w:p>
    <w:p w14:paraId="36113AD2" w14:textId="77777777" w:rsidR="00A93407" w:rsidRDefault="00A93407" w:rsidP="00A93407">
      <w:pPr>
        <w:spacing w:before="10" w:after="10" w:line="500" w:lineRule="atLeast"/>
        <w:ind w:right="720"/>
        <w:jc w:val="right"/>
        <w:rPr>
          <w:rFonts w:hint="eastAsia"/>
          <w:sz w:val="30"/>
          <w:szCs w:val="30"/>
        </w:rPr>
      </w:pPr>
      <w:r>
        <w:rPr>
          <w:rFonts w:hint="eastAsia"/>
          <w:sz w:val="30"/>
          <w:szCs w:val="30"/>
        </w:rPr>
        <w:t>人民陪审员  陆蓉华</w:t>
      </w:r>
    </w:p>
    <w:p w14:paraId="4E0A63C1" w14:textId="77777777" w:rsidR="00A93407" w:rsidRDefault="00A93407" w:rsidP="00A93407">
      <w:pPr>
        <w:spacing w:before="10" w:after="10" w:line="500" w:lineRule="atLeast"/>
        <w:ind w:right="720"/>
        <w:jc w:val="right"/>
        <w:rPr>
          <w:rFonts w:hint="eastAsia"/>
          <w:sz w:val="30"/>
          <w:szCs w:val="30"/>
        </w:rPr>
      </w:pPr>
      <w:r>
        <w:rPr>
          <w:rFonts w:hint="eastAsia"/>
          <w:sz w:val="30"/>
          <w:szCs w:val="30"/>
        </w:rPr>
        <w:t>人民陪审员  孙玉兰</w:t>
      </w:r>
    </w:p>
    <w:p w14:paraId="7FA1B84E" w14:textId="77777777" w:rsidR="00A93407" w:rsidRDefault="00A93407" w:rsidP="00A93407">
      <w:pPr>
        <w:spacing w:before="10" w:after="10" w:line="500" w:lineRule="atLeast"/>
        <w:ind w:right="720"/>
        <w:jc w:val="right"/>
        <w:rPr>
          <w:rFonts w:hint="eastAsia"/>
          <w:sz w:val="30"/>
          <w:szCs w:val="30"/>
        </w:rPr>
      </w:pPr>
      <w:r>
        <w:rPr>
          <w:rFonts w:hint="eastAsia"/>
          <w:sz w:val="30"/>
          <w:szCs w:val="30"/>
        </w:rPr>
        <w:t>二〇一八年十月十二日</w:t>
      </w:r>
    </w:p>
    <w:p w14:paraId="7A287654" w14:textId="77777777" w:rsidR="00A93407" w:rsidRDefault="00A93407" w:rsidP="00A93407">
      <w:pPr>
        <w:spacing w:before="10" w:after="10" w:line="500" w:lineRule="atLeast"/>
        <w:ind w:right="720"/>
        <w:jc w:val="right"/>
        <w:rPr>
          <w:rFonts w:hint="eastAsia"/>
          <w:sz w:val="30"/>
          <w:szCs w:val="30"/>
        </w:rPr>
      </w:pPr>
      <w:r>
        <w:rPr>
          <w:rFonts w:hint="eastAsia"/>
          <w:sz w:val="30"/>
          <w:szCs w:val="30"/>
        </w:rPr>
        <w:t>书 记 员  李 静</w:t>
      </w:r>
    </w:p>
    <w:p w14:paraId="7D50673A" w14:textId="77777777" w:rsidR="00A93407" w:rsidRDefault="00A93407" w:rsidP="00A93407">
      <w:pPr>
        <w:spacing w:before="10" w:after="10" w:line="500" w:lineRule="atLeast"/>
        <w:ind w:firstLine="600"/>
        <w:rPr>
          <w:rFonts w:hint="eastAsia"/>
          <w:sz w:val="30"/>
          <w:szCs w:val="30"/>
        </w:rPr>
      </w:pPr>
      <w:r>
        <w:rPr>
          <w:rFonts w:hint="eastAsia"/>
          <w:sz w:val="30"/>
          <w:szCs w:val="30"/>
        </w:rPr>
        <w:t>附本判决适用的相关法律条文:</w:t>
      </w:r>
    </w:p>
    <w:p w14:paraId="10951FDF" w14:textId="77777777" w:rsidR="00A93407" w:rsidRDefault="00A93407" w:rsidP="00A93407">
      <w:pPr>
        <w:spacing w:before="10" w:after="10" w:line="500" w:lineRule="atLeast"/>
        <w:ind w:firstLine="600"/>
        <w:rPr>
          <w:rFonts w:hint="eastAsia"/>
          <w:sz w:val="30"/>
          <w:szCs w:val="30"/>
        </w:rPr>
      </w:pPr>
      <w:r>
        <w:rPr>
          <w:rFonts w:hint="eastAsia"/>
          <w:sz w:val="30"/>
          <w:szCs w:val="30"/>
        </w:rPr>
        <w:t>《中华人民共和国合同法》</w:t>
      </w:r>
    </w:p>
    <w:p w14:paraId="43F474F8" w14:textId="77777777" w:rsidR="00A93407" w:rsidRDefault="00A93407" w:rsidP="00A93407">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4382876" w14:textId="77777777" w:rsidR="00A93407" w:rsidRDefault="00A93407" w:rsidP="00A93407">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4974EC97" w14:textId="77777777" w:rsidR="00A93407" w:rsidRDefault="00A93407" w:rsidP="00A93407">
      <w:pPr>
        <w:spacing w:before="10" w:after="10" w:line="500" w:lineRule="atLeast"/>
        <w:ind w:firstLine="600"/>
        <w:rPr>
          <w:rFonts w:hint="eastAsia"/>
          <w:sz w:val="30"/>
          <w:szCs w:val="30"/>
        </w:rPr>
      </w:pPr>
      <w:r>
        <w:rPr>
          <w:rFonts w:hint="eastAsia"/>
          <w:sz w:val="30"/>
          <w:szCs w:val="30"/>
        </w:rPr>
        <w:t>《中华人民共和国民事诉讼法》</w:t>
      </w:r>
    </w:p>
    <w:p w14:paraId="25A53FC3" w14:textId="77777777" w:rsidR="00A93407" w:rsidRDefault="00A93407" w:rsidP="00A93407">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4F8BECB0" w14:textId="77777777" w:rsidR="00971B1C" w:rsidRPr="00A93407" w:rsidRDefault="00971B1C" w:rsidP="00E54387">
      <w:pPr>
        <w:spacing w:before="10" w:after="10" w:line="500" w:lineRule="atLeast"/>
        <w:ind w:firstLine="600"/>
        <w:rPr>
          <w:rFonts w:cs="宋体"/>
          <w:sz w:val="30"/>
          <w:szCs w:val="30"/>
        </w:rPr>
      </w:pPr>
    </w:p>
    <w:sectPr w:rsidR="00971B1C" w:rsidRPr="00A93407">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D252" w14:textId="77777777" w:rsidR="00302AEA" w:rsidRDefault="00302AEA" w:rsidP="00302AEA">
      <w:r>
        <w:separator/>
      </w:r>
    </w:p>
  </w:endnote>
  <w:endnote w:type="continuationSeparator" w:id="0">
    <w:p w14:paraId="16E2F7E9" w14:textId="77777777" w:rsidR="00302AEA" w:rsidRDefault="00302AEA" w:rsidP="0030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F567" w14:textId="77777777" w:rsidR="00302AEA" w:rsidRDefault="00302AEA" w:rsidP="00302AEA">
      <w:r>
        <w:separator/>
      </w:r>
    </w:p>
  </w:footnote>
  <w:footnote w:type="continuationSeparator" w:id="0">
    <w:p w14:paraId="567D5FAA" w14:textId="77777777" w:rsidR="00302AEA" w:rsidRDefault="00302AEA" w:rsidP="00302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387"/>
    <w:rsid w:val="00302AEA"/>
    <w:rsid w:val="00537AAB"/>
    <w:rsid w:val="00543CCE"/>
    <w:rsid w:val="0062533F"/>
    <w:rsid w:val="00971B1C"/>
    <w:rsid w:val="00A93407"/>
    <w:rsid w:val="00BC46BF"/>
    <w:rsid w:val="00E54387"/>
    <w:rsid w:val="6E11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B6416D"/>
  <w15:chartTrackingRefBased/>
  <w15:docId w15:val="{F080B106-7F5E-4AA0-B9B2-A438D71D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2A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02AEA"/>
    <w:rPr>
      <w:rFonts w:ascii="宋体" w:hAnsi="宋体"/>
      <w:sz w:val="18"/>
      <w:szCs w:val="18"/>
    </w:rPr>
  </w:style>
  <w:style w:type="paragraph" w:styleId="a5">
    <w:name w:val="footer"/>
    <w:basedOn w:val="a"/>
    <w:link w:val="a6"/>
    <w:rsid w:val="00302AEA"/>
    <w:pPr>
      <w:tabs>
        <w:tab w:val="center" w:pos="4153"/>
        <w:tab w:val="right" w:pos="8306"/>
      </w:tabs>
      <w:snapToGrid w:val="0"/>
    </w:pPr>
    <w:rPr>
      <w:sz w:val="18"/>
      <w:szCs w:val="18"/>
    </w:rPr>
  </w:style>
  <w:style w:type="character" w:customStyle="1" w:styleId="a6">
    <w:name w:val="页脚 字符"/>
    <w:basedOn w:val="a0"/>
    <w:link w:val="a5"/>
    <w:rsid w:val="00302AEA"/>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118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4394936B728241FC9B512A946DBE6A73</vt:lpwstr>
  </property>
</Properties>
</file>