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CB65" w14:textId="77777777" w:rsidR="00D61A45" w:rsidRPr="00F16016" w:rsidRDefault="00D61A45">
      <w:pPr>
        <w:spacing w:after="280" w:afterAutospacing="1"/>
        <w:jc w:val="center"/>
        <w:rPr>
          <w:rFonts w:ascii="黑体" w:eastAsia="黑体" w:hAnsi="黑体"/>
          <w:sz w:val="36"/>
          <w:szCs w:val="36"/>
        </w:rPr>
      </w:pPr>
      <w:r w:rsidRPr="00F16016">
        <w:rPr>
          <w:rFonts w:ascii="黑体" w:eastAsia="黑体" w:hAnsi="黑体"/>
          <w:sz w:val="36"/>
          <w:szCs w:val="36"/>
        </w:rPr>
        <w:t>薛思想与金月清、孙高棉民间借贷纠纷一审民事判决书</w:t>
      </w:r>
    </w:p>
    <w:p w14:paraId="4D94E2DE" w14:textId="77777777" w:rsidR="00D61A45" w:rsidRPr="00F16016" w:rsidRDefault="00D61A45">
      <w:pPr>
        <w:rPr>
          <w:rFonts w:ascii="黑体" w:eastAsia="黑体" w:hAnsi="黑体"/>
          <w:sz w:val="36"/>
          <w:szCs w:val="36"/>
        </w:rPr>
      </w:pPr>
    </w:p>
    <w:p w14:paraId="63D03E2E" w14:textId="77777777" w:rsidR="00D61A45" w:rsidRPr="00F16016" w:rsidRDefault="00D61A45">
      <w:pPr>
        <w:jc w:val="center"/>
        <w:rPr>
          <w:rFonts w:ascii="宋体" w:eastAsia="宋体" w:hAnsi="宋体"/>
          <w:sz w:val="30"/>
          <w:szCs w:val="30"/>
        </w:rPr>
      </w:pPr>
      <w:r w:rsidRPr="00F16016">
        <w:rPr>
          <w:rFonts w:ascii="宋体" w:eastAsia="宋体" w:hAnsi="宋体"/>
          <w:sz w:val="30"/>
          <w:szCs w:val="30"/>
        </w:rPr>
        <w:t>浙江省平阳县人民法院</w:t>
      </w:r>
      <w:r w:rsidRPr="00F16016">
        <w:rPr>
          <w:rFonts w:ascii="宋体" w:eastAsia="宋体" w:hAnsi="宋体"/>
          <w:sz w:val="30"/>
          <w:szCs w:val="30"/>
        </w:rPr>
        <w:br/>
        <w:t>民事判决书</w:t>
      </w:r>
    </w:p>
    <w:p w14:paraId="46EE5B41" w14:textId="77777777" w:rsidR="00D61A45" w:rsidRPr="00F16016" w:rsidRDefault="00D61A45">
      <w:pPr>
        <w:jc w:val="right"/>
        <w:rPr>
          <w:rFonts w:ascii="宋体" w:eastAsia="宋体" w:hAnsi="宋体"/>
          <w:sz w:val="30"/>
          <w:szCs w:val="30"/>
        </w:rPr>
      </w:pPr>
      <w:r w:rsidRPr="00F16016">
        <w:rPr>
          <w:rFonts w:ascii="宋体" w:eastAsia="宋体" w:hAnsi="宋体"/>
          <w:sz w:val="30"/>
          <w:szCs w:val="30"/>
        </w:rPr>
        <w:t>(2015)温平鳌商初字第28号</w:t>
      </w:r>
    </w:p>
    <w:p w14:paraId="412F9FB6" w14:textId="77777777" w:rsidR="00D61A45" w:rsidRPr="000D4DBD" w:rsidRDefault="00D61A45" w:rsidP="00280EB7">
      <w:pPr>
        <w:spacing w:after="280" w:afterAutospacing="1"/>
        <w:rPr>
          <w:rFonts w:ascii="宋体" w:eastAsia="宋体" w:hAnsi="宋体"/>
          <w:color w:val="FF0000"/>
          <w:sz w:val="30"/>
          <w:szCs w:val="30"/>
        </w:rPr>
      </w:pPr>
      <w:r w:rsidRPr="00F16016">
        <w:rPr>
          <w:rFonts w:ascii="宋体" w:eastAsia="宋体" w:hAnsi="宋体"/>
          <w:sz w:val="30"/>
          <w:szCs w:val="30"/>
        </w:rPr>
        <w:br/>
        <w:t xml:space="preserve">　　原告：薛思想。</w:t>
      </w:r>
      <w:r w:rsidRPr="00F16016">
        <w:rPr>
          <w:rFonts w:ascii="宋体" w:eastAsia="宋体" w:hAnsi="宋体"/>
          <w:sz w:val="30"/>
          <w:szCs w:val="30"/>
        </w:rPr>
        <w:br/>
        <w:t xml:space="preserve">　　被告：金月清。</w:t>
      </w:r>
      <w:r w:rsidRPr="00F16016">
        <w:rPr>
          <w:rFonts w:ascii="宋体" w:eastAsia="宋体" w:hAnsi="宋体"/>
          <w:sz w:val="30"/>
          <w:szCs w:val="30"/>
        </w:rPr>
        <w:br/>
        <w:t xml:space="preserve">　　被告：孙高棉。</w:t>
      </w:r>
      <w:r w:rsidRPr="00F16016">
        <w:rPr>
          <w:rFonts w:ascii="宋体" w:eastAsia="宋体" w:hAnsi="宋体"/>
          <w:sz w:val="30"/>
          <w:szCs w:val="30"/>
        </w:rPr>
        <w:br/>
        <w:t xml:space="preserve">　　原告薛思想与被告金月清、孙高棉民间借贷纠纷一案，于2015年1月4日向本院起诉。本院同日立案受理后，依法组成合议庭，于2015年7月29日公开开庭进行了审理。原告薛思想到庭参加诉讼，被告金月清、孙高棉经本院合法传唤后未到庭应诉。本案现已审理终结。</w:t>
      </w:r>
      <w:r w:rsidRPr="00F16016">
        <w:rPr>
          <w:rFonts w:ascii="宋体" w:eastAsia="宋体" w:hAnsi="宋体"/>
          <w:sz w:val="30"/>
          <w:szCs w:val="30"/>
        </w:rPr>
        <w:br/>
        <w:t xml:space="preserve">　　原告薛思想起</w:t>
      </w:r>
      <w:r w:rsidRPr="00280EB7">
        <w:rPr>
          <w:rFonts w:ascii="宋体" w:eastAsia="宋体" w:hAnsi="宋体"/>
          <w:sz w:val="30"/>
          <w:szCs w:val="30"/>
          <w:highlight w:val="yellow"/>
        </w:rPr>
        <w:t>诉称</w:t>
      </w:r>
      <w:r w:rsidRPr="00F16016">
        <w:rPr>
          <w:rFonts w:ascii="宋体" w:eastAsia="宋体" w:hAnsi="宋体"/>
          <w:sz w:val="30"/>
          <w:szCs w:val="30"/>
        </w:rPr>
        <w:t>：2014年4月，被告金月清因借用原告信用卡而刷卡消费20000元后，原告因被告无力偿还而代为偿还上述债务，被告金月清于</w:t>
      </w:r>
      <w:r w:rsidRPr="00280EB7">
        <w:rPr>
          <w:rFonts w:ascii="宋体" w:eastAsia="宋体" w:hAnsi="宋体"/>
          <w:sz w:val="30"/>
          <w:szCs w:val="30"/>
          <w:highlight w:val="yellow"/>
        </w:rPr>
        <w:t>2014年4月24日出具一份借条，约定：从2014年5月开始于每月26日偿还1000元。</w:t>
      </w:r>
      <w:r w:rsidRPr="00F16016">
        <w:rPr>
          <w:rFonts w:ascii="宋体" w:eastAsia="宋体" w:hAnsi="宋体"/>
          <w:sz w:val="30"/>
          <w:szCs w:val="30"/>
        </w:rPr>
        <w:t>被告孙高棉自愿对上述债务承担连带偿还责任，亦出具一份说明。被告金月清仅偿还两个月1000元后，无故拒绝继续偿还。现原告</w:t>
      </w:r>
      <w:r w:rsidRPr="00BA44FF">
        <w:rPr>
          <w:rFonts w:ascii="宋体" w:eastAsia="宋体" w:hAnsi="宋体"/>
          <w:sz w:val="30"/>
          <w:szCs w:val="30"/>
          <w:highlight w:val="yellow"/>
        </w:rPr>
        <w:t>起诉要求</w:t>
      </w:r>
      <w:r w:rsidRPr="00F16016">
        <w:rPr>
          <w:rFonts w:ascii="宋体" w:eastAsia="宋体" w:hAnsi="宋体"/>
          <w:sz w:val="30"/>
          <w:szCs w:val="30"/>
        </w:rPr>
        <w:t>：1.被告金月清归还借款20000元及利息（从起诉之日起至判决生效之日止，按同期贷款利率计算）；2.被告孙高棉对上述借款承担连带偿还责任；3.二被告承担案件受理费。</w:t>
      </w:r>
      <w:r w:rsidRPr="00F16016">
        <w:rPr>
          <w:rFonts w:ascii="宋体" w:eastAsia="宋体" w:hAnsi="宋体"/>
          <w:sz w:val="30"/>
          <w:szCs w:val="30"/>
        </w:rPr>
        <w:br/>
        <w:t xml:space="preserve">　　</w:t>
      </w:r>
      <w:r w:rsidRPr="00DE6B3D">
        <w:rPr>
          <w:rFonts w:ascii="宋体" w:eastAsia="宋体" w:hAnsi="宋体"/>
          <w:sz w:val="30"/>
          <w:szCs w:val="30"/>
          <w:highlight w:val="yellow"/>
        </w:rPr>
        <w:t>为证明以上事实，原告薛思想在指定的举证期限内向本院提交以下证据：1.居民身份证（复印件），证明原告身份信息；2.人口信息（复印件），证明二被告身份信息；3.欠条及说明，证明原、被告间债权债务关系。</w:t>
      </w:r>
      <w:r w:rsidRPr="00F16016">
        <w:rPr>
          <w:rFonts w:ascii="宋体" w:eastAsia="宋体" w:hAnsi="宋体"/>
          <w:sz w:val="30"/>
          <w:szCs w:val="30"/>
        </w:rPr>
        <w:br/>
        <w:t xml:space="preserve">　　</w:t>
      </w:r>
      <w:r w:rsidRPr="00280EB7">
        <w:rPr>
          <w:rFonts w:ascii="宋体" w:eastAsia="宋体" w:hAnsi="宋体"/>
          <w:sz w:val="30"/>
          <w:szCs w:val="30"/>
          <w:highlight w:val="yellow"/>
        </w:rPr>
        <w:t>被告金月清、孙高棉未答辩，未在本院指定的举证期限内提交证据。</w:t>
      </w:r>
      <w:r w:rsidRPr="00F16016">
        <w:rPr>
          <w:rFonts w:ascii="宋体" w:eastAsia="宋体" w:hAnsi="宋体"/>
          <w:sz w:val="30"/>
          <w:szCs w:val="30"/>
        </w:rPr>
        <w:br/>
        <w:t xml:space="preserve">　　经庭审质证，被告金月清、孙高棉经本院传票传唤无正当理由未到庭，视为放弃对原告提交上述证据进行质证的权利。本院认为原告提交的上述证据具备真实性、合法性和关联性，本院予</w:t>
      </w:r>
      <w:r w:rsidRPr="00F16016">
        <w:rPr>
          <w:rFonts w:ascii="宋体" w:eastAsia="宋体" w:hAnsi="宋体"/>
          <w:sz w:val="30"/>
          <w:szCs w:val="30"/>
        </w:rPr>
        <w:lastRenderedPageBreak/>
        <w:t>以认定。</w:t>
      </w:r>
      <w:r w:rsidRPr="00F16016">
        <w:rPr>
          <w:rFonts w:ascii="宋体" w:eastAsia="宋体" w:hAnsi="宋体"/>
          <w:sz w:val="30"/>
          <w:szCs w:val="30"/>
        </w:rPr>
        <w:br/>
        <w:t xml:space="preserve">　　经审理，本院</w:t>
      </w:r>
      <w:r w:rsidRPr="00280EB7">
        <w:rPr>
          <w:rFonts w:ascii="宋体" w:eastAsia="宋体" w:hAnsi="宋体"/>
          <w:sz w:val="30"/>
          <w:szCs w:val="30"/>
          <w:highlight w:val="yellow"/>
        </w:rPr>
        <w:t>认定事实如下</w:t>
      </w:r>
      <w:r w:rsidRPr="00F16016">
        <w:rPr>
          <w:rFonts w:ascii="宋体" w:eastAsia="宋体" w:hAnsi="宋体"/>
          <w:sz w:val="30"/>
          <w:szCs w:val="30"/>
        </w:rPr>
        <w:t>：2014年4月24日，被告金月清向原告薛思想出具一份《欠条》，载明：今借到薛思想现金贰万元正（20000）；经协商，于2014年5月开始每月偿还1000元直至还清全额（每月26日）。2014年4月26日，被告孙高棉出具一份说明，载明：金月清欠薛思想两万元整（20000）每月还壹仟元整／担保人孙高棉。嗣后，被告金月清仅于2014年5月和2014年6月各偿还1000元，合计2000元。余款18000元，二被告均未偿还。</w:t>
      </w:r>
      <w:r w:rsidRPr="00F16016">
        <w:rPr>
          <w:rFonts w:ascii="宋体" w:eastAsia="宋体" w:hAnsi="宋体"/>
          <w:sz w:val="30"/>
          <w:szCs w:val="30"/>
        </w:rPr>
        <w:br/>
        <w:t xml:space="preserve">　　</w:t>
      </w:r>
      <w:r w:rsidRPr="00280EB7">
        <w:rPr>
          <w:rFonts w:ascii="宋体" w:eastAsia="宋体" w:hAnsi="宋体"/>
          <w:sz w:val="30"/>
          <w:szCs w:val="30"/>
          <w:highlight w:val="yellow"/>
        </w:rPr>
        <w:t>本院认为：</w:t>
      </w:r>
      <w:r w:rsidRPr="00F16016">
        <w:rPr>
          <w:rFonts w:ascii="宋体" w:eastAsia="宋体" w:hAnsi="宋体"/>
          <w:sz w:val="30"/>
          <w:szCs w:val="30"/>
        </w:rPr>
        <w:t>《欠条》是证明双方存在借贷合意和借贷关系实际发生的直接证据，具有较强的证明力。二被告对此未提出抗辩，因此，本院对被告金月清结欠原告薛思想20000元，予以认定。</w:t>
      </w:r>
      <w:commentRangeStart w:id="0"/>
      <w:r w:rsidRPr="000D4DBD">
        <w:rPr>
          <w:rFonts w:ascii="宋体" w:eastAsia="宋体" w:hAnsi="宋体"/>
          <w:color w:val="FF0000"/>
          <w:sz w:val="30"/>
          <w:szCs w:val="30"/>
        </w:rPr>
        <w:t>依据《欠条》，截止法庭辩论终结前，被告金月清应偿还原告到期借款15000元，而被告金月清仅偿还2000元，因此，截止2015年7月26日，被告金月清应偿还原告借款13000元。余款5000元，被告金月清还应按约从2015年8月开始于每月26日偿还1000元至还清为止。</w:t>
      </w:r>
      <w:commentRangeEnd w:id="0"/>
      <w:r w:rsidR="000D4DBD">
        <w:rPr>
          <w:rStyle w:val="a3"/>
        </w:rPr>
        <w:commentReference w:id="0"/>
      </w:r>
      <w:r w:rsidRPr="00F16016">
        <w:rPr>
          <w:rFonts w:ascii="宋体" w:eastAsia="宋体" w:hAnsi="宋体"/>
          <w:sz w:val="30"/>
          <w:szCs w:val="30"/>
        </w:rPr>
        <w:t>现原告要求被告金月清从起诉之日起至判决生效之日止，按中国人民银行同期贷款利率计付利息，本院认为上述到期债务13000元从起诉之日起计付利息，于法有据，本院予以支持，余款5000元可分别从逾期之日起计付利息。被告孙高棉作为担保人，双方未约定保证方式及保证期限，现原告要求被告孙高棉对被告金月清的债务承担连带偿还责任，符合法律规定，本院予以支持。被告金月清、孙高棉经本院合法传唤无正当理由未到庭，按缺席审理。据此，依照《</w:t>
      </w:r>
      <w:hyperlink r:id="rId10" w:history="1">
        <w:r w:rsidRPr="00A95E5C">
          <w:rPr>
            <w:rFonts w:ascii="宋体" w:eastAsia="宋体" w:hAnsi="宋体"/>
            <w:sz w:val="30"/>
            <w:szCs w:val="30"/>
          </w:rPr>
          <w:t>中华人民共和国合同法</w:t>
        </w:r>
      </w:hyperlink>
      <w:r w:rsidRPr="00A95E5C">
        <w:rPr>
          <w:rFonts w:ascii="宋体" w:eastAsia="宋体" w:hAnsi="宋体"/>
          <w:sz w:val="30"/>
          <w:szCs w:val="30"/>
        </w:rPr>
        <w:t>》第</w:t>
      </w:r>
      <w:hyperlink r:id="rId11" w:history="1">
        <w:r w:rsidRPr="00A95E5C">
          <w:rPr>
            <w:rFonts w:ascii="宋体" w:eastAsia="宋体" w:hAnsi="宋体"/>
            <w:sz w:val="30"/>
            <w:szCs w:val="30"/>
          </w:rPr>
          <w:t>六十条</w:t>
        </w:r>
      </w:hyperlink>
      <w:r w:rsidRPr="00A95E5C">
        <w:rPr>
          <w:rFonts w:ascii="宋体" w:eastAsia="宋体" w:hAnsi="宋体"/>
          <w:sz w:val="30"/>
          <w:szCs w:val="30"/>
        </w:rPr>
        <w:t>、第</w:t>
      </w:r>
      <w:hyperlink r:id="rId12" w:history="1">
        <w:r w:rsidRPr="00A95E5C">
          <w:rPr>
            <w:rFonts w:ascii="宋体" w:eastAsia="宋体" w:hAnsi="宋体"/>
            <w:sz w:val="30"/>
            <w:szCs w:val="30"/>
          </w:rPr>
          <w:t>二百零六条</w:t>
        </w:r>
      </w:hyperlink>
      <w:r w:rsidRPr="00A95E5C">
        <w:rPr>
          <w:rFonts w:ascii="宋体" w:eastAsia="宋体" w:hAnsi="宋体"/>
          <w:sz w:val="30"/>
          <w:szCs w:val="30"/>
        </w:rPr>
        <w:t>、第</w:t>
      </w:r>
      <w:hyperlink r:id="rId13" w:history="1">
        <w:r w:rsidRPr="00A95E5C">
          <w:rPr>
            <w:rFonts w:ascii="宋体" w:eastAsia="宋体" w:hAnsi="宋体"/>
            <w:sz w:val="30"/>
            <w:szCs w:val="30"/>
          </w:rPr>
          <w:t>二百零七条</w:t>
        </w:r>
      </w:hyperlink>
      <w:r w:rsidRPr="00A95E5C">
        <w:rPr>
          <w:rFonts w:ascii="宋体" w:eastAsia="宋体" w:hAnsi="宋体"/>
          <w:sz w:val="30"/>
          <w:szCs w:val="30"/>
        </w:rPr>
        <w:t>、《中华人民共和国担保人》第十九条、第二十一条、第二十六条第一款、《</w:t>
      </w:r>
      <w:hyperlink r:id="rId14" w:history="1">
        <w:r w:rsidRPr="00A95E5C">
          <w:rPr>
            <w:rFonts w:ascii="宋体" w:eastAsia="宋体" w:hAnsi="宋体"/>
            <w:sz w:val="30"/>
            <w:szCs w:val="30"/>
          </w:rPr>
          <w:t>中华人民共和国民事诉讼法</w:t>
        </w:r>
      </w:hyperlink>
      <w:r w:rsidRPr="00A95E5C">
        <w:rPr>
          <w:rFonts w:ascii="宋体" w:eastAsia="宋体" w:hAnsi="宋体"/>
          <w:sz w:val="30"/>
          <w:szCs w:val="30"/>
        </w:rPr>
        <w:t>》第</w:t>
      </w:r>
      <w:hyperlink r:id="rId15" w:history="1">
        <w:r w:rsidRPr="00A95E5C">
          <w:rPr>
            <w:rFonts w:ascii="宋体" w:eastAsia="宋体" w:hAnsi="宋体"/>
            <w:sz w:val="30"/>
            <w:szCs w:val="30"/>
          </w:rPr>
          <w:t>一百四十四条</w:t>
        </w:r>
      </w:hyperlink>
      <w:r w:rsidRPr="00A95E5C">
        <w:rPr>
          <w:rFonts w:ascii="宋体" w:eastAsia="宋体" w:hAnsi="宋体"/>
          <w:sz w:val="30"/>
          <w:szCs w:val="30"/>
        </w:rPr>
        <w:t>之规定</w:t>
      </w:r>
      <w:r w:rsidRPr="00F16016">
        <w:rPr>
          <w:rFonts w:ascii="宋体" w:eastAsia="宋体" w:hAnsi="宋体"/>
          <w:sz w:val="30"/>
          <w:szCs w:val="30"/>
        </w:rPr>
        <w:t>，</w:t>
      </w:r>
      <w:r w:rsidRPr="00A95E5C">
        <w:rPr>
          <w:rFonts w:ascii="宋体" w:eastAsia="宋体" w:hAnsi="宋体"/>
          <w:sz w:val="30"/>
          <w:szCs w:val="30"/>
          <w:highlight w:val="yellow"/>
        </w:rPr>
        <w:t>判决如下</w:t>
      </w:r>
      <w:r w:rsidRPr="00F16016">
        <w:rPr>
          <w:rFonts w:ascii="宋体" w:eastAsia="宋体" w:hAnsi="宋体"/>
          <w:sz w:val="30"/>
          <w:szCs w:val="30"/>
        </w:rPr>
        <w:t>：</w:t>
      </w:r>
      <w:r w:rsidRPr="00F16016">
        <w:rPr>
          <w:rFonts w:ascii="宋体" w:eastAsia="宋体" w:hAnsi="宋体"/>
          <w:sz w:val="30"/>
          <w:szCs w:val="30"/>
        </w:rPr>
        <w:br/>
        <w:t xml:space="preserve">　　一、被告金月清于本判决生效后十五日内偿还原告薛思想借款本金13000元及利息（从2015年1月4日起至本判决生效之日止），于2015年8月至12月每月26日前各偿还1000元（如逾期则逾期之日起至清偿之日止计逾期利息）（上述利率均按中国人民银行同期同档次贷款基准利率计）；</w:t>
      </w:r>
      <w:r w:rsidRPr="00F16016">
        <w:rPr>
          <w:rFonts w:ascii="宋体" w:eastAsia="宋体" w:hAnsi="宋体"/>
          <w:sz w:val="30"/>
          <w:szCs w:val="30"/>
        </w:rPr>
        <w:br/>
        <w:t xml:space="preserve">　　二、被告孙高棉对上述债务承担连带偿还责任；</w:t>
      </w:r>
      <w:r w:rsidRPr="00F16016">
        <w:rPr>
          <w:rFonts w:ascii="宋体" w:eastAsia="宋体" w:hAnsi="宋体"/>
          <w:sz w:val="30"/>
          <w:szCs w:val="30"/>
        </w:rPr>
        <w:br/>
        <w:t xml:space="preserve">　　三、驳回原告薛思想的其他诉讼请求。</w:t>
      </w:r>
      <w:r w:rsidRPr="00F16016">
        <w:rPr>
          <w:rFonts w:ascii="宋体" w:eastAsia="宋体" w:hAnsi="宋体"/>
          <w:sz w:val="30"/>
          <w:szCs w:val="30"/>
        </w:rPr>
        <w:br/>
        <w:t xml:space="preserve">　　如果未按本判决指定的期间履行给付金钱义务，</w:t>
      </w:r>
      <w:r w:rsidRPr="00A95E5C">
        <w:rPr>
          <w:rFonts w:ascii="宋体" w:eastAsia="宋体" w:hAnsi="宋体"/>
          <w:sz w:val="30"/>
          <w:szCs w:val="30"/>
        </w:rPr>
        <w:t>应按照《</w:t>
      </w:r>
      <w:hyperlink r:id="rId16" w:history="1">
        <w:r w:rsidRPr="00A95E5C">
          <w:rPr>
            <w:rFonts w:ascii="宋体" w:eastAsia="宋体" w:hAnsi="宋体"/>
            <w:sz w:val="30"/>
            <w:szCs w:val="30"/>
          </w:rPr>
          <w:t>中华人民共和国民事诉讼法</w:t>
        </w:r>
      </w:hyperlink>
      <w:r w:rsidRPr="00A95E5C">
        <w:rPr>
          <w:rFonts w:ascii="宋体" w:eastAsia="宋体" w:hAnsi="宋体"/>
          <w:sz w:val="30"/>
          <w:szCs w:val="30"/>
        </w:rPr>
        <w:t>》第</w:t>
      </w:r>
      <w:hyperlink r:id="rId17" w:history="1">
        <w:r w:rsidRPr="00A95E5C">
          <w:rPr>
            <w:rFonts w:ascii="宋体" w:eastAsia="宋体" w:hAnsi="宋体"/>
            <w:sz w:val="30"/>
            <w:szCs w:val="30"/>
          </w:rPr>
          <w:t>二百五十三条</w:t>
        </w:r>
      </w:hyperlink>
      <w:r w:rsidRPr="00A95E5C">
        <w:rPr>
          <w:rFonts w:ascii="宋体" w:eastAsia="宋体" w:hAnsi="宋体"/>
          <w:sz w:val="30"/>
          <w:szCs w:val="30"/>
        </w:rPr>
        <w:t>之规定，</w:t>
      </w:r>
      <w:r w:rsidRPr="00F16016">
        <w:rPr>
          <w:rFonts w:ascii="宋体" w:eastAsia="宋体" w:hAnsi="宋体"/>
          <w:sz w:val="30"/>
          <w:szCs w:val="30"/>
        </w:rPr>
        <w:t>加倍支付迟延履行期间的债务利息。</w:t>
      </w:r>
      <w:r w:rsidRPr="00F16016">
        <w:rPr>
          <w:rFonts w:ascii="宋体" w:eastAsia="宋体" w:hAnsi="宋体"/>
          <w:sz w:val="30"/>
          <w:szCs w:val="30"/>
        </w:rPr>
        <w:br/>
        <w:t xml:space="preserve">　　案件受理费300元，由金月清、孙高棉负担。</w:t>
      </w:r>
      <w:r w:rsidRPr="00F16016">
        <w:rPr>
          <w:rFonts w:ascii="宋体" w:eastAsia="宋体" w:hAnsi="宋体"/>
          <w:sz w:val="30"/>
          <w:szCs w:val="30"/>
        </w:rPr>
        <w:br/>
        <w:t xml:space="preserve">　　如不服本判决，可在判决书送达之日起十五日内，向本院递交上诉状，并按对方当事人的人数提出副本，上诉于浙江省温州市中级法院（上诉受理费300元，至迟在收到受理上诉通知书七日内内预交到温州市中级人民法院，或电汇至温州市财政局非税收入结算户，开户行农行温州市分行，帐号：xxx，逾期不交按自动撤回上诉处理）。</w:t>
      </w:r>
      <w:r w:rsidRPr="00F16016">
        <w:rPr>
          <w:rFonts w:ascii="宋体" w:eastAsia="宋体" w:hAnsi="宋体"/>
          <w:sz w:val="30"/>
          <w:szCs w:val="30"/>
        </w:rPr>
        <w:br/>
        <w:t xml:space="preserve">　　本判决生效后，负有义务的一方当事人不履行判决确定的义务，另一方当事人应当在判决书确定义务履行之日起二年内向本院申请执行。</w:t>
      </w:r>
    </w:p>
    <w:p w14:paraId="5B0ECD73" w14:textId="77777777" w:rsidR="00D61A45" w:rsidRPr="00F16016" w:rsidRDefault="00D61A45">
      <w:pPr>
        <w:jc w:val="right"/>
        <w:rPr>
          <w:rFonts w:ascii="宋体" w:eastAsia="宋体" w:hAnsi="宋体"/>
          <w:sz w:val="30"/>
          <w:szCs w:val="30"/>
        </w:rPr>
      </w:pPr>
      <w:r w:rsidRPr="00F16016">
        <w:rPr>
          <w:rFonts w:ascii="宋体" w:eastAsia="宋体" w:hAnsi="宋体"/>
          <w:sz w:val="30"/>
          <w:szCs w:val="30"/>
        </w:rPr>
        <w:br/>
        <w:t>审　判　长　　陈海琴</w:t>
      </w:r>
      <w:r w:rsidRPr="00F16016">
        <w:rPr>
          <w:rFonts w:ascii="宋体" w:eastAsia="宋体" w:hAnsi="宋体"/>
          <w:sz w:val="30"/>
          <w:szCs w:val="30"/>
        </w:rPr>
        <w:br/>
        <w:t>人民陪审员　　李步芬</w:t>
      </w:r>
      <w:r w:rsidRPr="00F16016">
        <w:rPr>
          <w:rFonts w:ascii="宋体" w:eastAsia="宋体" w:hAnsi="宋体"/>
          <w:sz w:val="30"/>
          <w:szCs w:val="30"/>
        </w:rPr>
        <w:br/>
        <w:t>人民陪审员　　肖丽君</w:t>
      </w:r>
      <w:r w:rsidRPr="00F16016">
        <w:rPr>
          <w:rFonts w:ascii="宋体" w:eastAsia="宋体" w:hAnsi="宋体"/>
          <w:sz w:val="30"/>
          <w:szCs w:val="30"/>
        </w:rPr>
        <w:br/>
        <w:t>二〇一五年八月六日</w:t>
      </w:r>
      <w:r w:rsidRPr="00F16016">
        <w:rPr>
          <w:rFonts w:ascii="宋体" w:eastAsia="宋体" w:hAnsi="宋体"/>
          <w:sz w:val="30"/>
          <w:szCs w:val="30"/>
        </w:rPr>
        <w:br/>
        <w:t>代书　记员　　杨守格</w:t>
      </w:r>
    </w:p>
    <w:p w14:paraId="61ECA7CA" w14:textId="77777777" w:rsidR="00D61A45" w:rsidRPr="00F16016" w:rsidRDefault="00D61A45">
      <w:pPr>
        <w:spacing w:after="280" w:afterAutospacing="1"/>
        <w:rPr>
          <w:rFonts w:ascii="宋体" w:eastAsia="宋体" w:hAnsi="宋体"/>
          <w:sz w:val="30"/>
          <w:szCs w:val="30"/>
        </w:rPr>
      </w:pPr>
    </w:p>
    <w:sectPr w:rsidR="00D61A45" w:rsidRPr="00F1601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i Jiahui" w:date="2021-11-16T15:17:00Z" w:initials="QJ">
    <w:p w14:paraId="4EEDE99E" w14:textId="77777777" w:rsidR="000D4DBD" w:rsidRDefault="000D4DBD">
      <w:pPr>
        <w:pStyle w:val="a4"/>
      </w:pPr>
      <w:r>
        <w:rPr>
          <w:rStyle w:val="a3"/>
        </w:rPr>
        <w:annotationRef/>
      </w:r>
      <w:r>
        <w:rPr>
          <w:rFonts w:hint="eastAsia"/>
        </w:rPr>
        <w:t>对于这部分表述，似乎遗漏了一些细节，因此暂未采集（即，</w:t>
      </w:r>
      <w:r>
        <w:rPr>
          <w:rFonts w:hint="eastAsia"/>
        </w:rPr>
        <w:t>excel</w:t>
      </w:r>
      <w:r>
        <w:rPr>
          <w:rFonts w:hint="eastAsia"/>
        </w:rPr>
        <w:t>中的“法院”视角暂缺）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DE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DE99E" w16cid:durableId="253E49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9889" w14:textId="77777777" w:rsidR="00BF3E08" w:rsidRDefault="00BF3E08" w:rsidP="00BF3E08">
      <w:r>
        <w:separator/>
      </w:r>
    </w:p>
  </w:endnote>
  <w:endnote w:type="continuationSeparator" w:id="0">
    <w:p w14:paraId="49142790" w14:textId="77777777" w:rsidR="00BF3E08" w:rsidRDefault="00BF3E08" w:rsidP="00BF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B8D1" w14:textId="77777777" w:rsidR="00BF3E08" w:rsidRDefault="00BF3E08" w:rsidP="00BF3E08">
      <w:r>
        <w:separator/>
      </w:r>
    </w:p>
  </w:footnote>
  <w:footnote w:type="continuationSeparator" w:id="0">
    <w:p w14:paraId="51B3D5D7" w14:textId="77777777" w:rsidR="00BF3E08" w:rsidRDefault="00BF3E08" w:rsidP="00BF3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4DBD"/>
    <w:rsid w:val="00144EF0"/>
    <w:rsid w:val="00280EB7"/>
    <w:rsid w:val="00A95E5C"/>
    <w:rsid w:val="00BA44FF"/>
    <w:rsid w:val="00BF3E08"/>
    <w:rsid w:val="00D61A45"/>
    <w:rsid w:val="00DE6B3D"/>
    <w:rsid w:val="00F160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7B481B"/>
  <w15:chartTrackingRefBased/>
  <w15:docId w15:val="{5A381521-396F-4D85-AFE1-66055C2C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sid w:val="000D4DBD"/>
    <w:rPr>
      <w:sz w:val="21"/>
      <w:szCs w:val="21"/>
    </w:rPr>
  </w:style>
  <w:style w:type="paragraph" w:styleId="a4">
    <w:name w:val="annotation text"/>
    <w:basedOn w:val="a"/>
    <w:link w:val="a5"/>
    <w:rsid w:val="000D4DBD"/>
  </w:style>
  <w:style w:type="character" w:customStyle="1" w:styleId="a5">
    <w:name w:val="批注文字 字符"/>
    <w:link w:val="a4"/>
    <w:rsid w:val="000D4DBD"/>
    <w:rPr>
      <w:sz w:val="24"/>
      <w:szCs w:val="24"/>
    </w:rPr>
  </w:style>
  <w:style w:type="paragraph" w:styleId="a6">
    <w:name w:val="annotation subject"/>
    <w:basedOn w:val="a4"/>
    <w:next w:val="a4"/>
    <w:link w:val="a7"/>
    <w:rsid w:val="000D4DBD"/>
    <w:rPr>
      <w:b/>
      <w:bCs/>
    </w:rPr>
  </w:style>
  <w:style w:type="character" w:customStyle="1" w:styleId="a7">
    <w:name w:val="批注主题 字符"/>
    <w:link w:val="a6"/>
    <w:rsid w:val="000D4DBD"/>
    <w:rPr>
      <w:b/>
      <w:bCs/>
      <w:sz w:val="24"/>
      <w:szCs w:val="24"/>
    </w:rPr>
  </w:style>
  <w:style w:type="paragraph" w:styleId="a8">
    <w:name w:val="header"/>
    <w:basedOn w:val="a"/>
    <w:link w:val="a9"/>
    <w:rsid w:val="00BF3E0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F3E08"/>
    <w:rPr>
      <w:sz w:val="18"/>
      <w:szCs w:val="18"/>
    </w:rPr>
  </w:style>
  <w:style w:type="paragraph" w:styleId="aa">
    <w:name w:val="footer"/>
    <w:basedOn w:val="a"/>
    <w:link w:val="ab"/>
    <w:rsid w:val="00BF3E08"/>
    <w:pPr>
      <w:tabs>
        <w:tab w:val="center" w:pos="4153"/>
        <w:tab w:val="right" w:pos="8306"/>
      </w:tabs>
      <w:snapToGrid w:val="0"/>
    </w:pPr>
    <w:rPr>
      <w:sz w:val="18"/>
      <w:szCs w:val="18"/>
    </w:rPr>
  </w:style>
  <w:style w:type="character" w:customStyle="1" w:styleId="ab">
    <w:name w:val="页脚 字符"/>
    <w:basedOn w:val="a0"/>
    <w:link w:val="aa"/>
    <w:rsid w:val="00BF3E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javascript:SLC(21651,20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javascript:SLC(21651,206)" TargetMode="External"/><Relationship Id="rId17" Type="http://schemas.openxmlformats.org/officeDocument/2006/relationships/hyperlink" Target="javascript:SLC(183386,253)" TargetMode="External"/><Relationship Id="rId2" Type="http://schemas.openxmlformats.org/officeDocument/2006/relationships/styles" Target="styles.xml"/><Relationship Id="rId16" Type="http://schemas.openxmlformats.org/officeDocument/2006/relationships/hyperlink" Target="javascript:SLC(183386,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SLC(21651,60)" TargetMode="External"/><Relationship Id="rId5" Type="http://schemas.openxmlformats.org/officeDocument/2006/relationships/footnotes" Target="footnotes.xml"/><Relationship Id="rId15" Type="http://schemas.openxmlformats.org/officeDocument/2006/relationships/hyperlink" Target="javascript:SLC(183386,144)" TargetMode="External"/><Relationship Id="rId10" Type="http://schemas.openxmlformats.org/officeDocument/2006/relationships/hyperlink" Target="javascript:SLC(2165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javascript:SLC(1833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EC3E-1B28-489F-BD9D-6924C66A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Links>
    <vt:vector size="48" baseType="variant">
      <vt:variant>
        <vt:i4>6553647</vt:i4>
      </vt:variant>
      <vt:variant>
        <vt:i4>21</vt:i4>
      </vt:variant>
      <vt:variant>
        <vt:i4>0</vt:i4>
      </vt:variant>
      <vt:variant>
        <vt:i4>5</vt:i4>
      </vt:variant>
      <vt:variant>
        <vt:lpwstr>javascript:SLC(183386,253)</vt:lpwstr>
      </vt:variant>
      <vt:variant>
        <vt:lpwstr/>
      </vt:variant>
      <vt:variant>
        <vt:i4>5308446</vt:i4>
      </vt:variant>
      <vt:variant>
        <vt:i4>18</vt:i4>
      </vt:variant>
      <vt:variant>
        <vt:i4>0</vt:i4>
      </vt:variant>
      <vt:variant>
        <vt:i4>5</vt:i4>
      </vt:variant>
      <vt:variant>
        <vt:lpwstr>javascript:SLC(183386,0)</vt:lpwstr>
      </vt:variant>
      <vt:variant>
        <vt:lpwstr/>
      </vt:variant>
      <vt:variant>
        <vt:i4>6619179</vt:i4>
      </vt:variant>
      <vt:variant>
        <vt:i4>15</vt:i4>
      </vt:variant>
      <vt:variant>
        <vt:i4>0</vt:i4>
      </vt:variant>
      <vt:variant>
        <vt:i4>5</vt:i4>
      </vt:variant>
      <vt:variant>
        <vt:lpwstr>javascript:SLC(183386,144)</vt:lpwstr>
      </vt:variant>
      <vt:variant>
        <vt:lpwstr/>
      </vt:variant>
      <vt:variant>
        <vt:i4>5308446</vt:i4>
      </vt:variant>
      <vt:variant>
        <vt:i4>12</vt:i4>
      </vt:variant>
      <vt:variant>
        <vt:i4>0</vt:i4>
      </vt:variant>
      <vt:variant>
        <vt:i4>5</vt:i4>
      </vt:variant>
      <vt:variant>
        <vt:lpwstr>javascript:SLC(183386,0)</vt:lpwstr>
      </vt:variant>
      <vt:variant>
        <vt:lpwstr/>
      </vt:variant>
      <vt:variant>
        <vt:i4>6160395</vt:i4>
      </vt:variant>
      <vt:variant>
        <vt:i4>9</vt:i4>
      </vt:variant>
      <vt:variant>
        <vt:i4>0</vt:i4>
      </vt:variant>
      <vt:variant>
        <vt:i4>5</vt:i4>
      </vt:variant>
      <vt:variant>
        <vt:lpwstr>javascript:SLC(21651,207)</vt:lpwstr>
      </vt:variant>
      <vt:variant>
        <vt:lpwstr/>
      </vt:variant>
      <vt:variant>
        <vt:i4>6225931</vt:i4>
      </vt:variant>
      <vt:variant>
        <vt:i4>6</vt:i4>
      </vt:variant>
      <vt:variant>
        <vt:i4>0</vt:i4>
      </vt:variant>
      <vt:variant>
        <vt:i4>5</vt:i4>
      </vt:variant>
      <vt:variant>
        <vt:lpwstr>javascript:SLC(21651,206)</vt:lpwstr>
      </vt:variant>
      <vt:variant>
        <vt:lpwstr/>
      </vt:variant>
      <vt:variant>
        <vt:i4>4456459</vt:i4>
      </vt:variant>
      <vt:variant>
        <vt:i4>3</vt:i4>
      </vt:variant>
      <vt:variant>
        <vt:i4>0</vt:i4>
      </vt:variant>
      <vt:variant>
        <vt:i4>5</vt:i4>
      </vt:variant>
      <vt:variant>
        <vt:lpwstr>javascript:SLC(21651,60)</vt:lpwstr>
      </vt:variant>
      <vt:variant>
        <vt:lpwstr/>
      </vt:variant>
      <vt:variant>
        <vt:i4>7012411</vt:i4>
      </vt:variant>
      <vt:variant>
        <vt:i4>0</vt:i4>
      </vt:variant>
      <vt:variant>
        <vt:i4>0</vt:i4>
      </vt:variant>
      <vt:variant>
        <vt:i4>5</vt:i4>
      </vt:variant>
      <vt:variant>
        <vt:lpwstr>javascript:SLC(21651,0)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