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EB90" w14:textId="77777777" w:rsidR="001565DF" w:rsidRPr="005D68A3" w:rsidRDefault="001565DF">
      <w:pPr>
        <w:spacing w:after="280" w:afterAutospacing="1"/>
        <w:jc w:val="center"/>
        <w:rPr>
          <w:rFonts w:ascii="黑体" w:eastAsia="黑体" w:hAnsi="黑体"/>
          <w:sz w:val="36"/>
          <w:szCs w:val="36"/>
        </w:rPr>
      </w:pPr>
      <w:r w:rsidRPr="005D68A3">
        <w:rPr>
          <w:rFonts w:ascii="黑体" w:eastAsia="黑体" w:hAnsi="黑体"/>
          <w:sz w:val="36"/>
          <w:szCs w:val="36"/>
        </w:rPr>
        <w:t>平阳县佳茂禽业专业合作社资金互助会诉王素漂等民间借贷纠纷案</w:t>
      </w:r>
    </w:p>
    <w:p w14:paraId="0962BA33" w14:textId="77777777" w:rsidR="001565DF" w:rsidRPr="005D68A3" w:rsidRDefault="001565DF">
      <w:pPr>
        <w:rPr>
          <w:rFonts w:ascii="黑体" w:eastAsia="黑体" w:hAnsi="黑体"/>
          <w:sz w:val="36"/>
          <w:szCs w:val="36"/>
        </w:rPr>
      </w:pPr>
    </w:p>
    <w:p w14:paraId="2B8DE390" w14:textId="77777777" w:rsidR="001565DF" w:rsidRPr="005D68A3" w:rsidRDefault="001565DF">
      <w:pPr>
        <w:jc w:val="center"/>
        <w:rPr>
          <w:rFonts w:ascii="宋体" w:eastAsia="宋体" w:hAnsi="宋体"/>
          <w:sz w:val="30"/>
          <w:szCs w:val="30"/>
        </w:rPr>
      </w:pPr>
      <w:r w:rsidRPr="005D68A3">
        <w:rPr>
          <w:rFonts w:ascii="宋体" w:eastAsia="宋体" w:hAnsi="宋体"/>
          <w:sz w:val="30"/>
          <w:szCs w:val="30"/>
        </w:rPr>
        <w:t>浙江省平阳县人民法院</w:t>
      </w:r>
      <w:r w:rsidRPr="005D68A3">
        <w:rPr>
          <w:rFonts w:ascii="宋体" w:eastAsia="宋体" w:hAnsi="宋体"/>
          <w:sz w:val="30"/>
          <w:szCs w:val="30"/>
        </w:rPr>
        <w:br/>
        <w:t xml:space="preserve">民事判决书 </w:t>
      </w:r>
    </w:p>
    <w:p w14:paraId="7D5FC527" w14:textId="77777777" w:rsidR="001565DF" w:rsidRPr="005D68A3" w:rsidRDefault="001565DF">
      <w:pPr>
        <w:jc w:val="right"/>
        <w:rPr>
          <w:rFonts w:ascii="宋体" w:eastAsia="宋体" w:hAnsi="宋体"/>
          <w:sz w:val="30"/>
          <w:szCs w:val="30"/>
        </w:rPr>
      </w:pPr>
      <w:r w:rsidRPr="005D68A3">
        <w:rPr>
          <w:rFonts w:ascii="宋体" w:eastAsia="宋体" w:hAnsi="宋体"/>
          <w:sz w:val="30"/>
          <w:szCs w:val="30"/>
        </w:rPr>
        <w:t>(2016)浙0326民初6080号</w:t>
      </w:r>
    </w:p>
    <w:p w14:paraId="5E1B720F" w14:textId="77777777" w:rsidR="001565DF" w:rsidRPr="005D68A3" w:rsidRDefault="001565DF">
      <w:pPr>
        <w:spacing w:after="280" w:afterAutospacing="1"/>
        <w:rPr>
          <w:rFonts w:ascii="宋体" w:eastAsia="宋体" w:hAnsi="宋体"/>
          <w:sz w:val="30"/>
          <w:szCs w:val="30"/>
        </w:rPr>
      </w:pPr>
      <w:r w:rsidRPr="005D68A3">
        <w:rPr>
          <w:rFonts w:ascii="宋体" w:eastAsia="宋体" w:hAnsi="宋体"/>
          <w:sz w:val="30"/>
          <w:szCs w:val="30"/>
        </w:rPr>
        <w:br/>
        <w:t xml:space="preserve">　　原告：平阳县佳茂禽业专业合作社资金互助会。</w:t>
      </w:r>
      <w:r w:rsidRPr="005D68A3">
        <w:rPr>
          <w:rFonts w:ascii="宋体" w:eastAsia="宋体" w:hAnsi="宋体"/>
          <w:sz w:val="30"/>
          <w:szCs w:val="30"/>
        </w:rPr>
        <w:br/>
        <w:t xml:space="preserve">　　法定代表人：尤良涨，理事长。</w:t>
      </w:r>
      <w:r w:rsidRPr="005D68A3">
        <w:rPr>
          <w:rFonts w:ascii="宋体" w:eastAsia="宋体" w:hAnsi="宋体"/>
          <w:sz w:val="30"/>
          <w:szCs w:val="30"/>
        </w:rPr>
        <w:br/>
        <w:t xml:space="preserve">　　委托诉讼代理人：金冶杰，浙江昆敖律师事务所律师。</w:t>
      </w:r>
      <w:r w:rsidRPr="005D68A3">
        <w:rPr>
          <w:rFonts w:ascii="宋体" w:eastAsia="宋体" w:hAnsi="宋体"/>
          <w:sz w:val="30"/>
          <w:szCs w:val="30"/>
        </w:rPr>
        <w:br/>
        <w:t xml:space="preserve">　　被告：王素漂。</w:t>
      </w:r>
      <w:r w:rsidRPr="005D68A3">
        <w:rPr>
          <w:rFonts w:ascii="宋体" w:eastAsia="宋体" w:hAnsi="宋体"/>
          <w:sz w:val="30"/>
          <w:szCs w:val="30"/>
        </w:rPr>
        <w:br/>
        <w:t xml:space="preserve">　　被告：林春桃。</w:t>
      </w:r>
      <w:r w:rsidRPr="005D68A3">
        <w:rPr>
          <w:rFonts w:ascii="宋体" w:eastAsia="宋体" w:hAnsi="宋体"/>
          <w:sz w:val="30"/>
          <w:szCs w:val="30"/>
        </w:rPr>
        <w:br/>
        <w:t xml:space="preserve">　　原告平阳县佳茂禽业专业合作社资金互助会（以下简称佳茂合作社）与被告王素漂、林春桃民间借贷纠纷一案，原告于2016年9月14日向本院起诉，</w:t>
      </w:r>
      <w:r w:rsidRPr="00994C19">
        <w:rPr>
          <w:rFonts w:ascii="宋体" w:eastAsia="宋体" w:hAnsi="宋体"/>
          <w:sz w:val="30"/>
          <w:szCs w:val="30"/>
          <w:highlight w:val="yellow"/>
        </w:rPr>
        <w:t>诉讼请求</w:t>
      </w:r>
      <w:r w:rsidRPr="005D68A3">
        <w:rPr>
          <w:rFonts w:ascii="宋体" w:eastAsia="宋体" w:hAnsi="宋体"/>
          <w:sz w:val="30"/>
          <w:szCs w:val="30"/>
        </w:rPr>
        <w:t>：1、依法判令被告王素漂偿还原告借款50000元及利息（利息按月利率1.9%计，自2014年9月21日起至判决确定履行之日止）；2、判令被告林春桃对以上款项承担连带偿还责任；3、本案受理费用由被告承担。诉讼中，</w:t>
      </w:r>
      <w:r w:rsidRPr="00994C19">
        <w:rPr>
          <w:rFonts w:ascii="宋体" w:eastAsia="宋体" w:hAnsi="宋体"/>
          <w:sz w:val="30"/>
          <w:szCs w:val="30"/>
          <w:highlight w:val="yellow"/>
        </w:rPr>
        <w:t>原告变更利息月利率按1.6%计</w:t>
      </w:r>
      <w:r w:rsidRPr="005D68A3">
        <w:rPr>
          <w:rFonts w:ascii="宋体" w:eastAsia="宋体" w:hAnsi="宋体"/>
          <w:sz w:val="30"/>
          <w:szCs w:val="30"/>
        </w:rPr>
        <w:t>。本院受理后，依法组成合议庭于2016年12月29日公开开庭进行了审理。</w:t>
      </w:r>
      <w:r w:rsidRPr="00BD462E">
        <w:rPr>
          <w:rFonts w:ascii="宋体" w:eastAsia="宋体" w:hAnsi="宋体"/>
          <w:sz w:val="30"/>
          <w:szCs w:val="30"/>
          <w:highlight w:val="yellow"/>
        </w:rPr>
        <w:t>原告佳茂合作社委托诉讼代理人金冶杰到庭参加诉讼</w:t>
      </w:r>
      <w:r w:rsidRPr="005D68A3">
        <w:rPr>
          <w:rFonts w:ascii="宋体" w:eastAsia="宋体" w:hAnsi="宋体"/>
          <w:sz w:val="30"/>
          <w:szCs w:val="30"/>
        </w:rPr>
        <w:t>，被告王素漂、林春桃经本院合法传唤无正当理由拒不到庭参加诉讼。本案现已审理终结。</w:t>
      </w:r>
      <w:r w:rsidRPr="005D68A3">
        <w:rPr>
          <w:rFonts w:ascii="宋体" w:eastAsia="宋体" w:hAnsi="宋体"/>
          <w:sz w:val="30"/>
          <w:szCs w:val="30"/>
        </w:rPr>
        <w:br/>
        <w:t xml:space="preserve">　　本院经审理，</w:t>
      </w:r>
      <w:r w:rsidRPr="00994C19">
        <w:rPr>
          <w:rFonts w:ascii="宋体" w:eastAsia="宋体" w:hAnsi="宋体"/>
          <w:sz w:val="30"/>
          <w:szCs w:val="30"/>
          <w:highlight w:val="yellow"/>
        </w:rPr>
        <w:t>认定本案事实如下</w:t>
      </w:r>
      <w:r w:rsidRPr="005D68A3">
        <w:rPr>
          <w:rFonts w:ascii="宋体" w:eastAsia="宋体" w:hAnsi="宋体"/>
          <w:sz w:val="30"/>
          <w:szCs w:val="30"/>
        </w:rPr>
        <w:t>：2014年4月21日，被告王素漂由被告林春桃担保向原告佳茂合作社借款50000元，双方签订了合同，约定资金投放占用率（月利率）1.6%，归还时间为2014年10月20日。约定担保人林春桃对以上款项承担连带偿还责任，保证期限为2年。事后，被告按约支付利息至2014年9月20日，借款50000元及余欠利息，经原告催讨未予偿还。</w:t>
      </w:r>
      <w:r w:rsidRPr="005D68A3">
        <w:rPr>
          <w:rFonts w:ascii="宋体" w:eastAsia="宋体" w:hAnsi="宋体"/>
          <w:sz w:val="30"/>
          <w:szCs w:val="30"/>
        </w:rPr>
        <w:br/>
        <w:t xml:space="preserve">　　依照</w:t>
      </w:r>
      <w:r w:rsidRPr="00994C19">
        <w:rPr>
          <w:rFonts w:ascii="宋体" w:eastAsia="宋体" w:hAnsi="宋体"/>
          <w:sz w:val="30"/>
          <w:szCs w:val="30"/>
        </w:rPr>
        <w:t>《</w:t>
      </w:r>
      <w:hyperlink r:id="rId6" w:history="1">
        <w:r w:rsidRPr="00994C19">
          <w:rPr>
            <w:rFonts w:ascii="宋体" w:eastAsia="宋体" w:hAnsi="宋体"/>
            <w:sz w:val="30"/>
            <w:szCs w:val="30"/>
          </w:rPr>
          <w:t>中华人民共和国合同法</w:t>
        </w:r>
      </w:hyperlink>
      <w:r w:rsidRPr="00994C19">
        <w:rPr>
          <w:rFonts w:ascii="宋体" w:eastAsia="宋体" w:hAnsi="宋体"/>
          <w:sz w:val="30"/>
          <w:szCs w:val="30"/>
        </w:rPr>
        <w:t>》第</w:t>
      </w:r>
      <w:hyperlink r:id="rId7" w:history="1">
        <w:r w:rsidRPr="00994C19">
          <w:rPr>
            <w:rFonts w:ascii="宋体" w:eastAsia="宋体" w:hAnsi="宋体"/>
            <w:sz w:val="30"/>
            <w:szCs w:val="30"/>
          </w:rPr>
          <w:t>一百九十六条</w:t>
        </w:r>
      </w:hyperlink>
      <w:r w:rsidRPr="00994C19">
        <w:rPr>
          <w:rFonts w:ascii="宋体" w:eastAsia="宋体" w:hAnsi="宋体"/>
          <w:sz w:val="30"/>
          <w:szCs w:val="30"/>
        </w:rPr>
        <w:t>、第</w:t>
      </w:r>
      <w:hyperlink r:id="rId8" w:history="1">
        <w:r w:rsidRPr="00994C19">
          <w:rPr>
            <w:rFonts w:ascii="宋体" w:eastAsia="宋体" w:hAnsi="宋体"/>
            <w:sz w:val="30"/>
            <w:szCs w:val="30"/>
          </w:rPr>
          <w:t>二百零六条</w:t>
        </w:r>
      </w:hyperlink>
      <w:r w:rsidRPr="00994C19">
        <w:rPr>
          <w:rFonts w:ascii="宋体" w:eastAsia="宋体" w:hAnsi="宋体"/>
          <w:sz w:val="30"/>
          <w:szCs w:val="30"/>
        </w:rPr>
        <w:t>、第</w:t>
      </w:r>
      <w:hyperlink r:id="rId9" w:history="1">
        <w:r w:rsidRPr="00994C19">
          <w:rPr>
            <w:rFonts w:ascii="宋体" w:eastAsia="宋体" w:hAnsi="宋体"/>
            <w:sz w:val="30"/>
            <w:szCs w:val="30"/>
          </w:rPr>
          <w:t>二百零七条</w:t>
        </w:r>
      </w:hyperlink>
      <w:r w:rsidRPr="00994C19">
        <w:rPr>
          <w:rFonts w:ascii="宋体" w:eastAsia="宋体" w:hAnsi="宋体"/>
          <w:sz w:val="30"/>
          <w:szCs w:val="30"/>
        </w:rPr>
        <w:t>、《</w:t>
      </w:r>
      <w:hyperlink r:id="rId10" w:history="1">
        <w:r w:rsidRPr="00994C19">
          <w:rPr>
            <w:rFonts w:ascii="宋体" w:eastAsia="宋体" w:hAnsi="宋体"/>
            <w:sz w:val="30"/>
            <w:szCs w:val="30"/>
          </w:rPr>
          <w:t>最高人民法院关于审理民间借贷案件适用法律若干问题的规定</w:t>
        </w:r>
      </w:hyperlink>
      <w:r w:rsidRPr="00994C19">
        <w:rPr>
          <w:rFonts w:ascii="宋体" w:eastAsia="宋体" w:hAnsi="宋体"/>
          <w:sz w:val="30"/>
          <w:szCs w:val="30"/>
        </w:rPr>
        <w:t>》第</w:t>
      </w:r>
      <w:hyperlink r:id="rId11" w:history="1">
        <w:r w:rsidRPr="00994C19">
          <w:rPr>
            <w:rFonts w:ascii="宋体" w:eastAsia="宋体" w:hAnsi="宋体"/>
            <w:sz w:val="30"/>
            <w:szCs w:val="30"/>
          </w:rPr>
          <w:t>二十六条</w:t>
        </w:r>
      </w:hyperlink>
      <w:r w:rsidRPr="00994C19">
        <w:rPr>
          <w:rFonts w:ascii="宋体" w:eastAsia="宋体" w:hAnsi="宋体"/>
          <w:sz w:val="30"/>
          <w:szCs w:val="30"/>
        </w:rPr>
        <w:t>、《</w:t>
      </w:r>
      <w:hyperlink r:id="rId12" w:history="1">
        <w:r w:rsidRPr="00994C19">
          <w:rPr>
            <w:rFonts w:ascii="宋体" w:eastAsia="宋体" w:hAnsi="宋体"/>
            <w:sz w:val="30"/>
            <w:szCs w:val="30"/>
          </w:rPr>
          <w:t>中华人民共和国担保</w:t>
        </w:r>
        <w:r w:rsidRPr="00994C19">
          <w:rPr>
            <w:rFonts w:ascii="宋体" w:eastAsia="宋体" w:hAnsi="宋体"/>
            <w:sz w:val="30"/>
            <w:szCs w:val="30"/>
          </w:rPr>
          <w:lastRenderedPageBreak/>
          <w:t>法</w:t>
        </w:r>
      </w:hyperlink>
      <w:r w:rsidRPr="00994C19">
        <w:rPr>
          <w:rFonts w:ascii="宋体" w:eastAsia="宋体" w:hAnsi="宋体"/>
          <w:sz w:val="30"/>
          <w:szCs w:val="30"/>
        </w:rPr>
        <w:t>》第</w:t>
      </w:r>
      <w:hyperlink r:id="rId13" w:history="1">
        <w:r w:rsidRPr="00994C19">
          <w:rPr>
            <w:rFonts w:ascii="宋体" w:eastAsia="宋体" w:hAnsi="宋体"/>
            <w:sz w:val="30"/>
            <w:szCs w:val="30"/>
          </w:rPr>
          <w:t>十八条</w:t>
        </w:r>
      </w:hyperlink>
      <w:r w:rsidRPr="00994C19">
        <w:rPr>
          <w:rFonts w:ascii="宋体" w:eastAsia="宋体" w:hAnsi="宋体"/>
          <w:sz w:val="30"/>
          <w:szCs w:val="30"/>
        </w:rPr>
        <w:t>、第</w:t>
      </w:r>
      <w:hyperlink r:id="rId14" w:history="1">
        <w:r w:rsidRPr="00994C19">
          <w:rPr>
            <w:rFonts w:ascii="宋体" w:eastAsia="宋体" w:hAnsi="宋体"/>
            <w:sz w:val="30"/>
            <w:szCs w:val="30"/>
          </w:rPr>
          <w:t>二十一条</w:t>
        </w:r>
      </w:hyperlink>
      <w:r w:rsidRPr="00994C19">
        <w:rPr>
          <w:rFonts w:ascii="宋体" w:eastAsia="宋体" w:hAnsi="宋体"/>
          <w:sz w:val="30"/>
          <w:szCs w:val="30"/>
        </w:rPr>
        <w:t>、《</w:t>
      </w:r>
      <w:hyperlink r:id="rId15" w:history="1">
        <w:r w:rsidRPr="00994C19">
          <w:rPr>
            <w:rFonts w:ascii="宋体" w:eastAsia="宋体" w:hAnsi="宋体"/>
            <w:sz w:val="30"/>
            <w:szCs w:val="30"/>
          </w:rPr>
          <w:t>中华人民共和国民事诉讼法</w:t>
        </w:r>
      </w:hyperlink>
      <w:r w:rsidRPr="00994C19">
        <w:rPr>
          <w:rFonts w:ascii="宋体" w:eastAsia="宋体" w:hAnsi="宋体"/>
          <w:sz w:val="30"/>
          <w:szCs w:val="30"/>
        </w:rPr>
        <w:t>》第</w:t>
      </w:r>
      <w:hyperlink r:id="rId16" w:history="1">
        <w:r w:rsidRPr="00994C19">
          <w:rPr>
            <w:rFonts w:ascii="宋体" w:eastAsia="宋体" w:hAnsi="宋体"/>
            <w:sz w:val="30"/>
            <w:szCs w:val="30"/>
          </w:rPr>
          <w:t>一百四十四条</w:t>
        </w:r>
      </w:hyperlink>
      <w:r w:rsidRPr="00994C19">
        <w:rPr>
          <w:rFonts w:ascii="宋体" w:eastAsia="宋体" w:hAnsi="宋体"/>
          <w:sz w:val="30"/>
          <w:szCs w:val="30"/>
        </w:rPr>
        <w:t>之规定，</w:t>
      </w:r>
      <w:r w:rsidRPr="00994C19">
        <w:rPr>
          <w:rFonts w:ascii="宋体" w:eastAsia="宋体" w:hAnsi="宋体"/>
          <w:sz w:val="30"/>
          <w:szCs w:val="30"/>
          <w:highlight w:val="yellow"/>
        </w:rPr>
        <w:t>判决如下</w:t>
      </w:r>
      <w:r w:rsidRPr="00994C19">
        <w:rPr>
          <w:rFonts w:ascii="宋体" w:eastAsia="宋体" w:hAnsi="宋体"/>
          <w:sz w:val="30"/>
          <w:szCs w:val="30"/>
        </w:rPr>
        <w:t>：</w:t>
      </w:r>
      <w:r w:rsidRPr="00994C19">
        <w:rPr>
          <w:rFonts w:ascii="宋体" w:eastAsia="宋体" w:hAnsi="宋体"/>
          <w:sz w:val="30"/>
          <w:szCs w:val="30"/>
        </w:rPr>
        <w:br/>
        <w:t xml:space="preserve">　　一、被告王素漂于本判决生效之日起十五日内偿还原告平阳县佳茂禽业专业合作社资金互助会借款50000元及利息（以借款50000元为基数，月利率按1.6%计，自2014年9月21日起至判决确定偿还之日止）；</w:t>
      </w:r>
      <w:r w:rsidRPr="00994C19">
        <w:rPr>
          <w:rFonts w:ascii="宋体" w:eastAsia="宋体" w:hAnsi="宋体"/>
          <w:sz w:val="30"/>
          <w:szCs w:val="30"/>
        </w:rPr>
        <w:br/>
        <w:t xml:space="preserve">　　二、被告林春桃对以上款项承担连带偿还责任。</w:t>
      </w:r>
      <w:r w:rsidRPr="00994C19">
        <w:rPr>
          <w:rFonts w:ascii="宋体" w:eastAsia="宋体" w:hAnsi="宋体"/>
          <w:sz w:val="30"/>
          <w:szCs w:val="30"/>
        </w:rPr>
        <w:br/>
        <w:t xml:space="preserve">　　如果未按本判决指定的期限履行给付金钱义务，应当按照《</w:t>
      </w:r>
      <w:hyperlink r:id="rId17" w:history="1">
        <w:r w:rsidRPr="00994C19">
          <w:rPr>
            <w:rFonts w:ascii="宋体" w:eastAsia="宋体" w:hAnsi="宋体"/>
            <w:sz w:val="30"/>
            <w:szCs w:val="30"/>
          </w:rPr>
          <w:t>中华人民共和国民事诉讼法</w:t>
        </w:r>
      </w:hyperlink>
      <w:r w:rsidRPr="00994C19">
        <w:rPr>
          <w:rFonts w:ascii="宋体" w:eastAsia="宋体" w:hAnsi="宋体"/>
          <w:sz w:val="30"/>
          <w:szCs w:val="30"/>
        </w:rPr>
        <w:t>》第</w:t>
      </w:r>
      <w:hyperlink r:id="rId18" w:history="1">
        <w:r w:rsidRPr="00994C19">
          <w:rPr>
            <w:rFonts w:ascii="宋体" w:eastAsia="宋体" w:hAnsi="宋体"/>
            <w:sz w:val="30"/>
            <w:szCs w:val="30"/>
          </w:rPr>
          <w:t>二百五十三条</w:t>
        </w:r>
      </w:hyperlink>
      <w:r w:rsidRPr="00994C19">
        <w:rPr>
          <w:rFonts w:ascii="宋体" w:eastAsia="宋体" w:hAnsi="宋体"/>
          <w:sz w:val="30"/>
          <w:szCs w:val="30"/>
        </w:rPr>
        <w:t>之规定，加倍支付迟延履行期间的债务利息。</w:t>
      </w:r>
      <w:r w:rsidRPr="00994C19">
        <w:rPr>
          <w:rFonts w:ascii="宋体" w:eastAsia="宋体" w:hAnsi="宋体"/>
          <w:sz w:val="30"/>
          <w:szCs w:val="30"/>
        </w:rPr>
        <w:br/>
        <w:t xml:space="preserve">　　案件受理费1626元，由王素漂、林春桃负担。</w:t>
      </w:r>
      <w:r w:rsidRPr="00994C19">
        <w:rPr>
          <w:rFonts w:ascii="宋体" w:eastAsia="宋体" w:hAnsi="宋体"/>
          <w:sz w:val="30"/>
          <w:szCs w:val="30"/>
        </w:rPr>
        <w:br/>
        <w:t xml:space="preserve">　　如不服本判决，可在判决书送达之日起十五日内，向本院递交上诉状，并按对方当事人的人数提出副本，上诉于浙江省温州市中级人民法院。</w:t>
      </w:r>
      <w:r w:rsidRPr="00994C19">
        <w:rPr>
          <w:rFonts w:ascii="宋体" w:eastAsia="宋体" w:hAnsi="宋体"/>
          <w:sz w:val="30"/>
          <w:szCs w:val="30"/>
        </w:rPr>
        <w:br/>
        <w:t xml:space="preserve">　　本判决生效后，负有义务的一方当事人不履行判决确定的义务，另一方当事人应于判决确定义务履行之日起二年内向本院申请执行。 </w:t>
      </w:r>
    </w:p>
    <w:p w14:paraId="5DF3A441" w14:textId="77777777" w:rsidR="001565DF" w:rsidRPr="005D68A3" w:rsidRDefault="001565DF">
      <w:pPr>
        <w:jc w:val="right"/>
        <w:rPr>
          <w:rFonts w:ascii="宋体" w:eastAsia="宋体" w:hAnsi="宋体"/>
          <w:sz w:val="30"/>
          <w:szCs w:val="30"/>
        </w:rPr>
      </w:pPr>
      <w:r w:rsidRPr="005D68A3">
        <w:rPr>
          <w:rFonts w:ascii="宋体" w:eastAsia="宋体" w:hAnsi="宋体"/>
          <w:sz w:val="30"/>
          <w:szCs w:val="30"/>
        </w:rPr>
        <w:br/>
        <w:t>审　判　长　　郑乃生</w:t>
      </w:r>
      <w:r w:rsidRPr="005D68A3">
        <w:rPr>
          <w:rFonts w:ascii="宋体" w:eastAsia="宋体" w:hAnsi="宋体"/>
          <w:sz w:val="30"/>
          <w:szCs w:val="30"/>
        </w:rPr>
        <w:br/>
        <w:t>人民陪审员　　杨少茹</w:t>
      </w:r>
      <w:r w:rsidRPr="005D68A3">
        <w:rPr>
          <w:rFonts w:ascii="宋体" w:eastAsia="宋体" w:hAnsi="宋体"/>
          <w:sz w:val="30"/>
          <w:szCs w:val="30"/>
        </w:rPr>
        <w:br/>
        <w:t>人民陪审员　　肖丽君</w:t>
      </w:r>
      <w:r w:rsidRPr="005D68A3">
        <w:rPr>
          <w:rFonts w:ascii="宋体" w:eastAsia="宋体" w:hAnsi="宋体"/>
          <w:sz w:val="30"/>
          <w:szCs w:val="30"/>
        </w:rPr>
        <w:br/>
        <w:t>二○一六年十二月二十九日</w:t>
      </w:r>
      <w:r w:rsidRPr="005D68A3">
        <w:rPr>
          <w:rFonts w:ascii="宋体" w:eastAsia="宋体" w:hAnsi="宋体"/>
          <w:sz w:val="30"/>
          <w:szCs w:val="30"/>
        </w:rPr>
        <w:br/>
        <w:t>代书记员张福海</w:t>
      </w:r>
    </w:p>
    <w:p w14:paraId="66F146A6" w14:textId="77777777" w:rsidR="001565DF" w:rsidRPr="005D68A3" w:rsidRDefault="001565DF">
      <w:pPr>
        <w:spacing w:after="280" w:afterAutospacing="1"/>
        <w:rPr>
          <w:rFonts w:ascii="宋体" w:eastAsia="宋体" w:hAnsi="宋体"/>
          <w:sz w:val="30"/>
          <w:szCs w:val="30"/>
        </w:rPr>
      </w:pPr>
    </w:p>
    <w:sectPr w:rsidR="001565DF" w:rsidRPr="005D68A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33E6E" w14:textId="77777777" w:rsidR="009C3247" w:rsidRDefault="009C3247" w:rsidP="009C3247">
      <w:r>
        <w:separator/>
      </w:r>
    </w:p>
  </w:endnote>
  <w:endnote w:type="continuationSeparator" w:id="0">
    <w:p w14:paraId="755BBD01" w14:textId="77777777" w:rsidR="009C3247" w:rsidRDefault="009C3247" w:rsidP="009C3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43DE" w14:textId="77777777" w:rsidR="009C3247" w:rsidRDefault="009C3247" w:rsidP="009C3247">
      <w:r>
        <w:separator/>
      </w:r>
    </w:p>
  </w:footnote>
  <w:footnote w:type="continuationSeparator" w:id="0">
    <w:p w14:paraId="30A76E79" w14:textId="77777777" w:rsidR="009C3247" w:rsidRDefault="009C3247" w:rsidP="009C32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1565DF"/>
    <w:rsid w:val="00212869"/>
    <w:rsid w:val="005D68A3"/>
    <w:rsid w:val="00994C19"/>
    <w:rsid w:val="009C3247"/>
    <w:rsid w:val="00BD462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D3A5911"/>
  <w15:chartTrackingRefBased/>
  <w15:docId w15:val="{00B692F8-17FD-43C9-9CA5-5D55C6C5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C32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C3247"/>
    <w:rPr>
      <w:sz w:val="18"/>
      <w:szCs w:val="18"/>
    </w:rPr>
  </w:style>
  <w:style w:type="paragraph" w:styleId="a5">
    <w:name w:val="footer"/>
    <w:basedOn w:val="a"/>
    <w:link w:val="a6"/>
    <w:rsid w:val="009C3247"/>
    <w:pPr>
      <w:tabs>
        <w:tab w:val="center" w:pos="4153"/>
        <w:tab w:val="right" w:pos="8306"/>
      </w:tabs>
      <w:snapToGrid w:val="0"/>
    </w:pPr>
    <w:rPr>
      <w:sz w:val="18"/>
      <w:szCs w:val="18"/>
    </w:rPr>
  </w:style>
  <w:style w:type="character" w:customStyle="1" w:styleId="a6">
    <w:name w:val="页脚 字符"/>
    <w:basedOn w:val="a0"/>
    <w:link w:val="a5"/>
    <w:rsid w:val="009C32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SLC(21651,206)" TargetMode="External"/><Relationship Id="rId13" Type="http://schemas.openxmlformats.org/officeDocument/2006/relationships/hyperlink" Target="javascript:SLC(12418,18)" TargetMode="External"/><Relationship Id="rId18" Type="http://schemas.openxmlformats.org/officeDocument/2006/relationships/hyperlink" Target="javascript:SLC(183386,253)" TargetMode="External"/><Relationship Id="rId3" Type="http://schemas.openxmlformats.org/officeDocument/2006/relationships/webSettings" Target="webSettings.xml"/><Relationship Id="rId7" Type="http://schemas.openxmlformats.org/officeDocument/2006/relationships/hyperlink" Target="javascript:SLC(21651,196)" TargetMode="External"/><Relationship Id="rId12" Type="http://schemas.openxmlformats.org/officeDocument/2006/relationships/hyperlink" Target="javascript:SLC(12418,0)" TargetMode="External"/><Relationship Id="rId17" Type="http://schemas.openxmlformats.org/officeDocument/2006/relationships/hyperlink" Target="javascript:SLC(183386,0)" TargetMode="External"/><Relationship Id="rId2" Type="http://schemas.openxmlformats.org/officeDocument/2006/relationships/settings" Target="settings.xml"/><Relationship Id="rId16" Type="http://schemas.openxmlformats.org/officeDocument/2006/relationships/hyperlink" Target="javascript:SLC(183386,14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SLC(21651,0)" TargetMode="External"/><Relationship Id="rId11" Type="http://schemas.openxmlformats.org/officeDocument/2006/relationships/hyperlink" Target="javascript:SLC(252673,26)" TargetMode="External"/><Relationship Id="rId5" Type="http://schemas.openxmlformats.org/officeDocument/2006/relationships/endnotes" Target="endnotes.xml"/><Relationship Id="rId15" Type="http://schemas.openxmlformats.org/officeDocument/2006/relationships/hyperlink" Target="javascript:SLC(183386,0)" TargetMode="External"/><Relationship Id="rId10" Type="http://schemas.openxmlformats.org/officeDocument/2006/relationships/hyperlink" Target="javascript:SLC(252673,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SLC(21651,207)" TargetMode="External"/><Relationship Id="rId14" Type="http://schemas.openxmlformats.org/officeDocument/2006/relationships/hyperlink" Target="javascript:SLC(12418,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Links>
    <vt:vector size="78" baseType="variant">
      <vt:variant>
        <vt:i4>6553647</vt:i4>
      </vt:variant>
      <vt:variant>
        <vt:i4>36</vt:i4>
      </vt:variant>
      <vt:variant>
        <vt:i4>0</vt:i4>
      </vt:variant>
      <vt:variant>
        <vt:i4>5</vt:i4>
      </vt:variant>
      <vt:variant>
        <vt:lpwstr>javascript:SLC(183386,253)</vt:lpwstr>
      </vt:variant>
      <vt:variant>
        <vt:lpwstr/>
      </vt:variant>
      <vt:variant>
        <vt:i4>5308446</vt:i4>
      </vt:variant>
      <vt:variant>
        <vt:i4>33</vt:i4>
      </vt:variant>
      <vt:variant>
        <vt:i4>0</vt:i4>
      </vt:variant>
      <vt:variant>
        <vt:i4>5</vt:i4>
      </vt:variant>
      <vt:variant>
        <vt:lpwstr>javascript:SLC(183386,0)</vt:lpwstr>
      </vt:variant>
      <vt:variant>
        <vt:lpwstr/>
      </vt:variant>
      <vt:variant>
        <vt:i4>6619179</vt:i4>
      </vt:variant>
      <vt:variant>
        <vt:i4>30</vt:i4>
      </vt:variant>
      <vt:variant>
        <vt:i4>0</vt:i4>
      </vt:variant>
      <vt:variant>
        <vt:i4>5</vt:i4>
      </vt:variant>
      <vt:variant>
        <vt:lpwstr>javascript:SLC(183386,144)</vt:lpwstr>
      </vt:variant>
      <vt:variant>
        <vt:lpwstr/>
      </vt:variant>
      <vt:variant>
        <vt:i4>5308446</vt:i4>
      </vt:variant>
      <vt:variant>
        <vt:i4>27</vt:i4>
      </vt:variant>
      <vt:variant>
        <vt:i4>0</vt:i4>
      </vt:variant>
      <vt:variant>
        <vt:i4>5</vt:i4>
      </vt:variant>
      <vt:variant>
        <vt:lpwstr>javascript:SLC(183386,0)</vt:lpwstr>
      </vt:variant>
      <vt:variant>
        <vt:lpwstr/>
      </vt:variant>
      <vt:variant>
        <vt:i4>4718605</vt:i4>
      </vt:variant>
      <vt:variant>
        <vt:i4>24</vt:i4>
      </vt:variant>
      <vt:variant>
        <vt:i4>0</vt:i4>
      </vt:variant>
      <vt:variant>
        <vt:i4>5</vt:i4>
      </vt:variant>
      <vt:variant>
        <vt:lpwstr>javascript:SLC(12418,21)</vt:lpwstr>
      </vt:variant>
      <vt:variant>
        <vt:lpwstr/>
      </vt:variant>
      <vt:variant>
        <vt:i4>4915204</vt:i4>
      </vt:variant>
      <vt:variant>
        <vt:i4>21</vt:i4>
      </vt:variant>
      <vt:variant>
        <vt:i4>0</vt:i4>
      </vt:variant>
      <vt:variant>
        <vt:i4>5</vt:i4>
      </vt:variant>
      <vt:variant>
        <vt:lpwstr>javascript:SLC(12418,18)</vt:lpwstr>
      </vt:variant>
      <vt:variant>
        <vt:lpwstr/>
      </vt:variant>
      <vt:variant>
        <vt:i4>6488124</vt:i4>
      </vt:variant>
      <vt:variant>
        <vt:i4>18</vt:i4>
      </vt:variant>
      <vt:variant>
        <vt:i4>0</vt:i4>
      </vt:variant>
      <vt:variant>
        <vt:i4>5</vt:i4>
      </vt:variant>
      <vt:variant>
        <vt:lpwstr>javascript:SLC(12418,0)</vt:lpwstr>
      </vt:variant>
      <vt:variant>
        <vt:lpwstr/>
      </vt:variant>
      <vt:variant>
        <vt:i4>4390929</vt:i4>
      </vt:variant>
      <vt:variant>
        <vt:i4>15</vt:i4>
      </vt:variant>
      <vt:variant>
        <vt:i4>0</vt:i4>
      </vt:variant>
      <vt:variant>
        <vt:i4>5</vt:i4>
      </vt:variant>
      <vt:variant>
        <vt:lpwstr>javascript:SLC(252673,26)</vt:lpwstr>
      </vt:variant>
      <vt:variant>
        <vt:lpwstr/>
      </vt:variant>
      <vt:variant>
        <vt:i4>6029331</vt:i4>
      </vt:variant>
      <vt:variant>
        <vt:i4>12</vt:i4>
      </vt:variant>
      <vt:variant>
        <vt:i4>0</vt:i4>
      </vt:variant>
      <vt:variant>
        <vt:i4>5</vt:i4>
      </vt:variant>
      <vt:variant>
        <vt:lpwstr>javascript:SLC(252673,0)</vt:lpwstr>
      </vt:variant>
      <vt:variant>
        <vt:lpwstr/>
      </vt:variant>
      <vt:variant>
        <vt:i4>6160395</vt:i4>
      </vt:variant>
      <vt:variant>
        <vt:i4>9</vt:i4>
      </vt:variant>
      <vt:variant>
        <vt:i4>0</vt:i4>
      </vt:variant>
      <vt:variant>
        <vt:i4>5</vt:i4>
      </vt:variant>
      <vt:variant>
        <vt:lpwstr>javascript:SLC(21651,207)</vt:lpwstr>
      </vt:variant>
      <vt:variant>
        <vt:lpwstr/>
      </vt:variant>
      <vt:variant>
        <vt:i4>6225931</vt:i4>
      </vt:variant>
      <vt:variant>
        <vt:i4>6</vt:i4>
      </vt:variant>
      <vt:variant>
        <vt:i4>0</vt:i4>
      </vt:variant>
      <vt:variant>
        <vt:i4>5</vt:i4>
      </vt:variant>
      <vt:variant>
        <vt:lpwstr>javascript:SLC(21651,206)</vt:lpwstr>
      </vt:variant>
      <vt:variant>
        <vt:lpwstr/>
      </vt:variant>
      <vt:variant>
        <vt:i4>6029314</vt:i4>
      </vt:variant>
      <vt:variant>
        <vt:i4>3</vt:i4>
      </vt:variant>
      <vt:variant>
        <vt:i4>0</vt:i4>
      </vt:variant>
      <vt:variant>
        <vt:i4>5</vt:i4>
      </vt:variant>
      <vt:variant>
        <vt:lpwstr>javascript:SLC(21651,196)</vt:lpwstr>
      </vt:variant>
      <vt:variant>
        <vt:lpwstr/>
      </vt:variant>
      <vt:variant>
        <vt:i4>7012411</vt:i4>
      </vt:variant>
      <vt:variant>
        <vt:i4>0</vt:i4>
      </vt:variant>
      <vt:variant>
        <vt:i4>0</vt:i4>
      </vt:variant>
      <vt:variant>
        <vt:i4>5</vt:i4>
      </vt:variant>
      <vt:variant>
        <vt:lpwstr>javascript:SLC(21651,0)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Jiahui</dc:creator>
  <cp:keywords/>
  <cp:lastModifiedBy>蒋 沛文</cp:lastModifiedBy>
  <cp:revision>2</cp:revision>
  <cp:lastPrinted>1601-01-01T00:00:00Z</cp:lastPrinted>
  <dcterms:created xsi:type="dcterms:W3CDTF">2024-05-11T16:28:00Z</dcterms:created>
  <dcterms:modified xsi:type="dcterms:W3CDTF">2024-05-11T16:28:00Z</dcterms:modified>
</cp:coreProperties>
</file>