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BA7C" w14:textId="77777777" w:rsidR="002C2514" w:rsidRPr="00795C70" w:rsidRDefault="006316EF" w:rsidP="006316EF">
      <w:pPr>
        <w:jc w:val="center"/>
        <w:rPr>
          <w:rFonts w:ascii="宋体" w:eastAsia="宋体" w:hAnsi="宋体" w:cs="Arial"/>
          <w:b/>
          <w:bCs/>
          <w:sz w:val="30"/>
          <w:szCs w:val="30"/>
        </w:rPr>
      </w:pPr>
      <w:r w:rsidRPr="00795C70">
        <w:rPr>
          <w:rFonts w:ascii="宋体" w:eastAsia="宋体" w:hAnsi="宋体" w:cs="Arial" w:hint="eastAsia"/>
          <w:b/>
          <w:bCs/>
          <w:sz w:val="30"/>
          <w:szCs w:val="30"/>
        </w:rPr>
        <w:t>陈孟芳与叶友树、陈玉叶等民间借贷纠纷一审民事判决书</w:t>
      </w:r>
    </w:p>
    <w:p w14:paraId="6D8513EA" w14:textId="77777777" w:rsidR="006316EF" w:rsidRPr="00795C70" w:rsidRDefault="006316EF" w:rsidP="006316EF">
      <w:pPr>
        <w:jc w:val="center"/>
        <w:rPr>
          <w:rFonts w:ascii="宋体" w:eastAsia="宋体" w:hAnsi="宋体" w:hint="eastAsia"/>
          <w:sz w:val="30"/>
          <w:szCs w:val="30"/>
        </w:rPr>
      </w:pPr>
    </w:p>
    <w:p w14:paraId="2559F54A" w14:textId="77777777" w:rsidR="002C2514" w:rsidRPr="00795C70" w:rsidRDefault="002C2514">
      <w:pPr>
        <w:jc w:val="center"/>
        <w:rPr>
          <w:rFonts w:ascii="宋体" w:eastAsia="宋体" w:hAnsi="宋体"/>
          <w:sz w:val="30"/>
          <w:szCs w:val="30"/>
        </w:rPr>
      </w:pPr>
      <w:r w:rsidRPr="00795C70">
        <w:rPr>
          <w:rFonts w:ascii="宋体" w:eastAsia="宋体" w:hAnsi="宋体"/>
          <w:sz w:val="30"/>
          <w:szCs w:val="30"/>
        </w:rPr>
        <w:t>浙江省平阳县人民法院</w:t>
      </w:r>
      <w:r w:rsidRPr="00795C70">
        <w:rPr>
          <w:rFonts w:ascii="宋体" w:eastAsia="宋体" w:hAnsi="宋体"/>
          <w:sz w:val="30"/>
          <w:szCs w:val="30"/>
        </w:rPr>
        <w:br/>
        <w:t>民事判决书</w:t>
      </w:r>
    </w:p>
    <w:p w14:paraId="0723E656" w14:textId="77777777" w:rsidR="002C2514" w:rsidRPr="00795C70" w:rsidRDefault="002C2514">
      <w:pPr>
        <w:jc w:val="right"/>
        <w:rPr>
          <w:rFonts w:ascii="宋体" w:eastAsia="宋体" w:hAnsi="宋体"/>
          <w:sz w:val="30"/>
          <w:szCs w:val="30"/>
        </w:rPr>
      </w:pPr>
      <w:r w:rsidRPr="00795C70">
        <w:rPr>
          <w:rFonts w:ascii="宋体" w:eastAsia="宋体" w:hAnsi="宋体"/>
          <w:sz w:val="30"/>
          <w:szCs w:val="30"/>
        </w:rPr>
        <w:t>(2015)温平商初字第1194号</w:t>
      </w:r>
    </w:p>
    <w:p w14:paraId="07482B8A" w14:textId="77777777" w:rsidR="002C2514" w:rsidRPr="00795C70" w:rsidRDefault="002C2514">
      <w:pPr>
        <w:spacing w:after="280" w:afterAutospacing="1"/>
        <w:rPr>
          <w:rFonts w:ascii="宋体" w:eastAsia="宋体" w:hAnsi="宋体"/>
          <w:sz w:val="30"/>
          <w:szCs w:val="30"/>
        </w:rPr>
      </w:pPr>
      <w:r w:rsidRPr="00795C70">
        <w:rPr>
          <w:rFonts w:ascii="宋体" w:eastAsia="宋体" w:hAnsi="宋体"/>
          <w:sz w:val="30"/>
          <w:szCs w:val="30"/>
        </w:rPr>
        <w:br/>
        <w:t xml:space="preserve">　　原告：陈孟芳。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委托代理人：汤颖异，浙江金瓯律师事务所律师。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被告：叶友树。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被告：陈玉叶。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被告：陈立丰。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原告陈孟芳与被告叶友树、陈玉叶、陈立丰民间借贷纠纷一案，于2015年8月10日向本院起诉，本院于同日受理后，依法适用简易程序于2015年9月14日公开开庭进行审理。</w:t>
      </w:r>
      <w:r w:rsidRPr="00AD6A68">
        <w:rPr>
          <w:rFonts w:ascii="宋体" w:eastAsia="宋体" w:hAnsi="宋体"/>
          <w:sz w:val="30"/>
          <w:szCs w:val="30"/>
          <w:highlight w:val="yellow"/>
        </w:rPr>
        <w:t>原告陈孟芳的委托代理人汤颖异到庭参加诉讼</w:t>
      </w:r>
      <w:r w:rsidRPr="00795C70">
        <w:rPr>
          <w:rFonts w:ascii="宋体" w:eastAsia="宋体" w:hAnsi="宋体"/>
          <w:sz w:val="30"/>
          <w:szCs w:val="30"/>
        </w:rPr>
        <w:t>，被告叶友树、陈玉叶、陈立丰经本院传票传唤无正当理由拒不到庭。本案现已审理终结。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原告陈孟芳</w:t>
      </w:r>
      <w:r w:rsidRPr="00AD6A68">
        <w:rPr>
          <w:rFonts w:ascii="宋体" w:eastAsia="宋体" w:hAnsi="宋体"/>
          <w:sz w:val="30"/>
          <w:szCs w:val="30"/>
          <w:highlight w:val="yellow"/>
        </w:rPr>
        <w:t>起诉称</w:t>
      </w:r>
      <w:r w:rsidRPr="00795C70">
        <w:rPr>
          <w:rFonts w:ascii="宋体" w:eastAsia="宋体" w:hAnsi="宋体"/>
          <w:sz w:val="30"/>
          <w:szCs w:val="30"/>
        </w:rPr>
        <w:t>：2014年8月18日，被告叶友树、陈玉叶以经营需要为由，向原告借款人民币950000元，双方约定按月利率2%支付利息。被告陈立丰自愿为被告叶友树、陈玉叶的上述借款承担连带保证责任。原告依约向被告指定的账户支付借款。被告在借款后，于2014年9月12日支付本息740000元。此后，原告多次向被告催讨，但被告仍未偿还，仅仅于2015年1月9日支付本息50000元，于2015年1月11日支付10000元，于2015年6月3日支付15000元，余款至今未还。</w:t>
      </w:r>
      <w:r w:rsidRPr="00AD6A68">
        <w:rPr>
          <w:rFonts w:ascii="宋体" w:eastAsia="宋体" w:hAnsi="宋体"/>
          <w:sz w:val="30"/>
          <w:szCs w:val="30"/>
          <w:highlight w:val="yellow"/>
        </w:rPr>
        <w:t>现请求判令</w:t>
      </w:r>
      <w:r w:rsidRPr="00795C70">
        <w:rPr>
          <w:rFonts w:ascii="宋体" w:eastAsia="宋体" w:hAnsi="宋体"/>
          <w:sz w:val="30"/>
          <w:szCs w:val="30"/>
        </w:rPr>
        <w:t>：1、被告叶友树、陈玉叶偿还原告借款183598.88元，并支付自2015年5月13日起按月息2%计算至清偿之日止的利息；2、被告陈立丰对上述借款本息承担连带清偿责任；3、本案诉讼费用由被告承担。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原告陈孟芳在本院指定的举证期限内向本院提交以下证据：1.原告身份证，证明原告的诉讼主体资格；2.被告身份证，证明被告的诉讼主体资格；3.借款借据一份，证明原、被告间借贷关系的事实；4.银行交易明细，证明原告履行借款交付义务的事实；5.银行单笔交易清单，证明被告还本付息情况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</w:t>
      </w:r>
      <w:r w:rsidRPr="00AD6A68">
        <w:rPr>
          <w:rFonts w:ascii="宋体" w:eastAsia="宋体" w:hAnsi="宋体"/>
          <w:sz w:val="30"/>
          <w:szCs w:val="30"/>
          <w:highlight w:val="yellow"/>
        </w:rPr>
        <w:t>被告叶友树、陈玉叶、陈立丰未作答辩，亦未在本院指定的</w:t>
      </w:r>
      <w:r w:rsidRPr="00AD6A68">
        <w:rPr>
          <w:rFonts w:ascii="宋体" w:eastAsia="宋体" w:hAnsi="宋体"/>
          <w:sz w:val="30"/>
          <w:szCs w:val="30"/>
          <w:highlight w:val="yellow"/>
        </w:rPr>
        <w:lastRenderedPageBreak/>
        <w:t>举证期限内提供证据。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上述证据经当庭出示，被告叶友树、陈玉叶、陈立丰经本院合法传唤无正当理由拒不到庭参加诉讼，视为放弃对以上证据进行质证的权利。本院认为，原告提供的证据系依法收集，内容客观真实，具备关联性且具有证明效力，本院予以确认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结合上述认定的证据及原告的陈述，本院认定本案</w:t>
      </w:r>
      <w:r w:rsidRPr="00AD6A68">
        <w:rPr>
          <w:rFonts w:ascii="宋体" w:eastAsia="宋体" w:hAnsi="宋体"/>
          <w:sz w:val="30"/>
          <w:szCs w:val="30"/>
          <w:highlight w:val="yellow"/>
        </w:rPr>
        <w:t>事实如下：</w:t>
      </w:r>
      <w:r w:rsidRPr="00795C70">
        <w:rPr>
          <w:rFonts w:ascii="宋体" w:eastAsia="宋体" w:hAnsi="宋体"/>
          <w:sz w:val="30"/>
          <w:szCs w:val="30"/>
        </w:rPr>
        <w:br/>
        <w:t xml:space="preserve">　　2014年8月18日，被告叶友树、陈玉叶向原告借款，并出具借款借据一份，约定借款950000元，月利率2%，</w:t>
      </w:r>
      <w:r w:rsidRPr="00AD6A68">
        <w:rPr>
          <w:rFonts w:ascii="宋体" w:eastAsia="宋体" w:hAnsi="宋体"/>
          <w:sz w:val="30"/>
          <w:szCs w:val="30"/>
          <w:highlight w:val="yellow"/>
        </w:rPr>
        <w:t>未约定</w:t>
      </w:r>
      <w:r w:rsidRPr="00795C70">
        <w:rPr>
          <w:rFonts w:ascii="宋体" w:eastAsia="宋体" w:hAnsi="宋体"/>
          <w:sz w:val="30"/>
          <w:szCs w:val="30"/>
        </w:rPr>
        <w:t>借款期限，被告陈立丰自愿为上述借款承担连带保证责任，保证期限为直至主债务本息还清之日为止，并由被告叶友树、陈玉叶、陈立丰在借款借据上签字捺印。被告借款后，分别于2014年9月12日归还借款本息740000元，于2015年1月9日偿还本息50000元，于2015年1月11日偿还本息10000元，于2015年6月3日偿还本息15000元。剩余借款本金及利息被告叶友树、陈玉叶至今未予偿还，被告陈立丰亦未承担保证责任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</w:t>
      </w:r>
      <w:r w:rsidRPr="00AD6A68">
        <w:rPr>
          <w:rFonts w:ascii="宋体" w:eastAsia="宋体" w:hAnsi="宋体"/>
          <w:sz w:val="30"/>
          <w:szCs w:val="30"/>
          <w:highlight w:val="yellow"/>
        </w:rPr>
        <w:t>本院认为：</w:t>
      </w:r>
      <w:r w:rsidRPr="00795C70">
        <w:rPr>
          <w:rFonts w:ascii="宋体" w:eastAsia="宋体" w:hAnsi="宋体"/>
          <w:sz w:val="30"/>
          <w:szCs w:val="30"/>
        </w:rPr>
        <w:t>被告叶友树、陈玉叶向原告陈孟芳借款，当事人之间形成的民间借贷关系内容合法，双方当事人意思表示真实，应当认定有效。合法的民间借贷关系受法律保护。原被告未约定还款期限，原告可以催告被告在合理期限内返还。现原告要求被告偿还剩余借款本金，于法有据，本院予以支持。</w:t>
      </w:r>
      <w:r w:rsidRPr="00AD6A68">
        <w:rPr>
          <w:rFonts w:ascii="宋体" w:eastAsia="宋体" w:hAnsi="宋体"/>
          <w:sz w:val="30"/>
          <w:szCs w:val="30"/>
          <w:highlight w:val="yellow"/>
        </w:rPr>
        <w:t>双方约定的借款月利率2%，已超过借款行为发生时中国人民银行同期同类贷款基准利率四倍，本院酌情调整年利率按22.4%（5.6%×4）计算。</w:t>
      </w:r>
      <w:r w:rsidRPr="00795C70">
        <w:rPr>
          <w:rFonts w:ascii="宋体" w:eastAsia="宋体" w:hAnsi="宋体"/>
          <w:sz w:val="30"/>
          <w:szCs w:val="30"/>
        </w:rPr>
        <w:t>原告自认被告于2014年9月12日至2015年6月3日陆续偿还借款本息，应分段按照先还利息后还本金的顺序予以扣除。经折算，截至2014年9月12日，被告叶友树、陈玉叶应付利息15368.89元，实付740000元，多付724631.11元折抵本金，剩余本金为225368.89元；截至2015年1月9日，被告叶友树、陈玉叶应付利息17879.27元，实付50000元，多付32120.73元折抵本金，剩余本金为193248.15元；截至2015年1月11日，被告叶友树、陈玉叶应付利息240.49元，实付10000元，多付9759.51元折抵本金，剩余本金为183488.64元。2015年6月3日，被告叶友树、陈玉叶应付利息16326.41元，实付15000元，故该部分应认定为支付利息。经折算，被告叶友树、陈玉叶已支付利息至2015年5月22日。故原告主张被告偿还借款本金183598.88元，对其中的183488.64元本院予以支持，超过部分本院不予支持。本案中的利息应自2015年5月23日起以未还本金183488.64元为基数按年利率22.4%计算至实际偿还之日止，对原告主张的其他利息，本院不予支持。被告陈立丰自愿对上述借款提供连带责任担保，双方约定保证期限为直至主债务本息还清为止，应视为约定不明，保证期间为主债务履行期限届满之日起二年。现原告在保证期限内要求被告陈立丰承担连带偿还责任，于法有据，本院予以支持。被告叶友树、陈玉叶、陈立丰经本院合法传唤无正当理由拒不到庭参加诉讼，应按缺席处理。据此，依照《</w:t>
      </w:r>
      <w:hyperlink r:id="rId6" w:history="1">
        <w:r w:rsidRPr="00795C70">
          <w:rPr>
            <w:rFonts w:ascii="宋体" w:eastAsia="宋体" w:hAnsi="宋体"/>
            <w:sz w:val="30"/>
            <w:szCs w:val="30"/>
          </w:rPr>
          <w:t>中华人民共和国合同法</w:t>
        </w:r>
      </w:hyperlink>
      <w:r w:rsidRPr="00795C70">
        <w:rPr>
          <w:rFonts w:ascii="宋体" w:eastAsia="宋体" w:hAnsi="宋体"/>
          <w:sz w:val="30"/>
          <w:szCs w:val="30"/>
        </w:rPr>
        <w:t>》第</w:t>
      </w:r>
      <w:hyperlink r:id="rId7" w:history="1">
        <w:r w:rsidRPr="00795C70">
          <w:rPr>
            <w:rFonts w:ascii="宋体" w:eastAsia="宋体" w:hAnsi="宋体"/>
            <w:sz w:val="30"/>
            <w:szCs w:val="30"/>
          </w:rPr>
          <w:t>六十条</w:t>
        </w:r>
      </w:hyperlink>
      <w:r w:rsidRPr="00795C70">
        <w:rPr>
          <w:rFonts w:ascii="宋体" w:eastAsia="宋体" w:hAnsi="宋体"/>
          <w:sz w:val="30"/>
          <w:szCs w:val="30"/>
        </w:rPr>
        <w:t>、第</w:t>
      </w:r>
      <w:hyperlink r:id="rId8" w:history="1">
        <w:r w:rsidRPr="00795C70">
          <w:rPr>
            <w:rFonts w:ascii="宋体" w:eastAsia="宋体" w:hAnsi="宋体"/>
            <w:sz w:val="30"/>
            <w:szCs w:val="30"/>
          </w:rPr>
          <w:t>二百零五条</w:t>
        </w:r>
      </w:hyperlink>
      <w:r w:rsidRPr="00795C70">
        <w:rPr>
          <w:rFonts w:ascii="宋体" w:eastAsia="宋体" w:hAnsi="宋体"/>
          <w:sz w:val="30"/>
          <w:szCs w:val="30"/>
        </w:rPr>
        <w:t>、第</w:t>
      </w:r>
      <w:hyperlink r:id="rId9" w:history="1">
        <w:r w:rsidRPr="00795C70">
          <w:rPr>
            <w:rFonts w:ascii="宋体" w:eastAsia="宋体" w:hAnsi="宋体"/>
            <w:sz w:val="30"/>
            <w:szCs w:val="30"/>
          </w:rPr>
          <w:t>二百零六条</w:t>
        </w:r>
      </w:hyperlink>
      <w:r w:rsidRPr="00795C70">
        <w:rPr>
          <w:rFonts w:ascii="宋体" w:eastAsia="宋体" w:hAnsi="宋体"/>
          <w:sz w:val="30"/>
          <w:szCs w:val="30"/>
        </w:rPr>
        <w:t>、第</w:t>
      </w:r>
      <w:hyperlink r:id="rId10" w:history="1">
        <w:r w:rsidRPr="00795C70">
          <w:rPr>
            <w:rFonts w:ascii="宋体" w:eastAsia="宋体" w:hAnsi="宋体"/>
            <w:sz w:val="30"/>
            <w:szCs w:val="30"/>
          </w:rPr>
          <w:t>二百一十一条</w:t>
        </w:r>
      </w:hyperlink>
      <w:r w:rsidRPr="00795C70">
        <w:rPr>
          <w:rFonts w:ascii="宋体" w:eastAsia="宋体" w:hAnsi="宋体"/>
          <w:sz w:val="30"/>
          <w:szCs w:val="30"/>
        </w:rPr>
        <w:t>第二款，《最高人民法院关于适用</w:t>
      </w:r>
      <w:hyperlink r:id="rId11" w:history="1">
        <w:r w:rsidRPr="00795C70">
          <w:rPr>
            <w:rFonts w:ascii="宋体" w:eastAsia="宋体" w:hAnsi="宋体"/>
            <w:sz w:val="30"/>
            <w:szCs w:val="30"/>
          </w:rPr>
          <w:t>中华人民共和国合同法</w:t>
        </w:r>
      </w:hyperlink>
      <w:r w:rsidRPr="00795C70">
        <w:rPr>
          <w:rFonts w:ascii="宋体" w:eastAsia="宋体" w:hAnsi="宋体"/>
          <w:sz w:val="30"/>
          <w:szCs w:val="30"/>
        </w:rPr>
        <w:t>若干问题的解释（二）》第</w:t>
      </w:r>
      <w:hyperlink r:id="rId12" w:history="1">
        <w:r w:rsidRPr="00795C70">
          <w:rPr>
            <w:rFonts w:ascii="宋体" w:eastAsia="宋体" w:hAnsi="宋体"/>
            <w:sz w:val="30"/>
            <w:szCs w:val="30"/>
          </w:rPr>
          <w:t>二十一条</w:t>
        </w:r>
      </w:hyperlink>
      <w:r w:rsidRPr="00795C70">
        <w:rPr>
          <w:rFonts w:ascii="宋体" w:eastAsia="宋体" w:hAnsi="宋体"/>
          <w:sz w:val="30"/>
          <w:szCs w:val="30"/>
        </w:rPr>
        <w:t>，</w:t>
      </w:r>
      <w:hyperlink r:id="rId13" w:history="1">
        <w:r w:rsidRPr="00795C70">
          <w:rPr>
            <w:rFonts w:ascii="宋体" w:eastAsia="宋体" w:hAnsi="宋体"/>
            <w:sz w:val="30"/>
            <w:szCs w:val="30"/>
          </w:rPr>
          <w:t>中华人民共和国担保法</w:t>
        </w:r>
      </w:hyperlink>
      <w:r w:rsidRPr="00795C70">
        <w:rPr>
          <w:rFonts w:ascii="宋体" w:eastAsia="宋体" w:hAnsi="宋体"/>
          <w:sz w:val="30"/>
          <w:szCs w:val="30"/>
        </w:rPr>
        <w:t>》第第</w:t>
      </w:r>
      <w:hyperlink r:id="rId14" w:history="1">
        <w:r w:rsidRPr="00795C70">
          <w:rPr>
            <w:rFonts w:ascii="宋体" w:eastAsia="宋体" w:hAnsi="宋体"/>
            <w:sz w:val="30"/>
            <w:szCs w:val="30"/>
          </w:rPr>
          <w:t>十八条</w:t>
        </w:r>
      </w:hyperlink>
      <w:r w:rsidRPr="00795C70">
        <w:rPr>
          <w:rFonts w:ascii="宋体" w:eastAsia="宋体" w:hAnsi="宋体"/>
          <w:sz w:val="30"/>
          <w:szCs w:val="30"/>
        </w:rPr>
        <w:t>、第</w:t>
      </w:r>
      <w:hyperlink r:id="rId15" w:history="1">
        <w:r w:rsidRPr="00795C70">
          <w:rPr>
            <w:rFonts w:ascii="宋体" w:eastAsia="宋体" w:hAnsi="宋体"/>
            <w:sz w:val="30"/>
            <w:szCs w:val="30"/>
          </w:rPr>
          <w:t>二十一条</w:t>
        </w:r>
      </w:hyperlink>
      <w:r w:rsidRPr="00795C70">
        <w:rPr>
          <w:rFonts w:ascii="宋体" w:eastAsia="宋体" w:hAnsi="宋体"/>
          <w:sz w:val="30"/>
          <w:szCs w:val="30"/>
        </w:rPr>
        <w:t>，《最高人民法院关于适用</w:t>
      </w:r>
      <w:hyperlink r:id="rId16" w:history="1">
        <w:r w:rsidRPr="00795C70">
          <w:rPr>
            <w:rFonts w:ascii="宋体" w:eastAsia="宋体" w:hAnsi="宋体"/>
            <w:sz w:val="30"/>
            <w:szCs w:val="30"/>
          </w:rPr>
          <w:t>中华人民共和国担保法</w:t>
        </w:r>
      </w:hyperlink>
      <w:r w:rsidRPr="00795C70">
        <w:rPr>
          <w:rFonts w:ascii="宋体" w:eastAsia="宋体" w:hAnsi="宋体"/>
          <w:sz w:val="30"/>
          <w:szCs w:val="30"/>
        </w:rPr>
        <w:t>若干问题的解释》第</w:t>
      </w:r>
      <w:hyperlink r:id="rId17" w:history="1">
        <w:r w:rsidRPr="00795C70">
          <w:rPr>
            <w:rFonts w:ascii="宋体" w:eastAsia="宋体" w:hAnsi="宋体"/>
            <w:sz w:val="30"/>
            <w:szCs w:val="30"/>
          </w:rPr>
          <w:t>三十二条</w:t>
        </w:r>
      </w:hyperlink>
      <w:r w:rsidRPr="00795C70">
        <w:rPr>
          <w:rFonts w:ascii="宋体" w:eastAsia="宋体" w:hAnsi="宋体"/>
          <w:sz w:val="30"/>
          <w:szCs w:val="30"/>
        </w:rPr>
        <w:t>第二款，《</w:t>
      </w:r>
      <w:hyperlink r:id="rId18" w:history="1">
        <w:r w:rsidRPr="00795C70">
          <w:rPr>
            <w:rFonts w:ascii="宋体" w:eastAsia="宋体" w:hAnsi="宋体"/>
            <w:sz w:val="30"/>
            <w:szCs w:val="30"/>
          </w:rPr>
          <w:t>中华人民共和国民事诉讼法</w:t>
        </w:r>
      </w:hyperlink>
      <w:r w:rsidRPr="00795C70">
        <w:rPr>
          <w:rFonts w:ascii="宋体" w:eastAsia="宋体" w:hAnsi="宋体"/>
          <w:sz w:val="30"/>
          <w:szCs w:val="30"/>
        </w:rPr>
        <w:t>》第</w:t>
      </w:r>
      <w:hyperlink r:id="rId19" w:history="1">
        <w:r w:rsidRPr="00795C70">
          <w:rPr>
            <w:rFonts w:ascii="宋体" w:eastAsia="宋体" w:hAnsi="宋体"/>
            <w:sz w:val="30"/>
            <w:szCs w:val="30"/>
          </w:rPr>
          <w:t>一百四十四条</w:t>
        </w:r>
      </w:hyperlink>
      <w:r w:rsidRPr="00795C70">
        <w:rPr>
          <w:rFonts w:ascii="宋体" w:eastAsia="宋体" w:hAnsi="宋体"/>
          <w:sz w:val="30"/>
          <w:szCs w:val="30"/>
        </w:rPr>
        <w:t>之规定，</w:t>
      </w:r>
      <w:r w:rsidRPr="00AD6A68">
        <w:rPr>
          <w:rFonts w:ascii="宋体" w:eastAsia="宋体" w:hAnsi="宋体"/>
          <w:sz w:val="30"/>
          <w:szCs w:val="30"/>
          <w:highlight w:val="yellow"/>
        </w:rPr>
        <w:t>判决如下：</w:t>
      </w:r>
      <w:r w:rsidRPr="00795C70">
        <w:rPr>
          <w:rFonts w:ascii="宋体" w:eastAsia="宋体" w:hAnsi="宋体"/>
          <w:sz w:val="30"/>
          <w:szCs w:val="30"/>
        </w:rPr>
        <w:br/>
        <w:t xml:space="preserve">　　一、限被告叶友树、陈玉叶于本判决生效之日起十日内偿还原告陈孟芳借款本金183488.64元及利息（自2015年5月23日起以未还本金为基数按年利率22.4%计算至实际偿还之日止）；</w:t>
      </w:r>
      <w:r w:rsidRPr="00795C70">
        <w:rPr>
          <w:rFonts w:ascii="宋体" w:eastAsia="宋体" w:hAnsi="宋体"/>
          <w:sz w:val="30"/>
          <w:szCs w:val="30"/>
        </w:rPr>
        <w:br/>
        <w:t xml:space="preserve">　　二、被告陈立丰对被告叶友树、陈玉叶的上述债务承担连带偿还责任；</w:t>
      </w:r>
      <w:r w:rsidRPr="00795C70">
        <w:rPr>
          <w:rFonts w:ascii="宋体" w:eastAsia="宋体" w:hAnsi="宋体"/>
          <w:sz w:val="30"/>
          <w:szCs w:val="30"/>
        </w:rPr>
        <w:br/>
        <w:t xml:space="preserve">　　三、驳回原告其他诉讼请求。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如果未按本判决指定的期限履行给付金钱义务，应当按照《</w:t>
      </w:r>
      <w:hyperlink r:id="rId20" w:history="1">
        <w:r w:rsidRPr="00795C70">
          <w:rPr>
            <w:rFonts w:ascii="宋体" w:eastAsia="宋体" w:hAnsi="宋体"/>
            <w:sz w:val="30"/>
            <w:szCs w:val="30"/>
          </w:rPr>
          <w:t>中华人民共和国民事诉讼法</w:t>
        </w:r>
      </w:hyperlink>
      <w:r w:rsidRPr="00795C70">
        <w:rPr>
          <w:rFonts w:ascii="宋体" w:eastAsia="宋体" w:hAnsi="宋体"/>
          <w:sz w:val="30"/>
          <w:szCs w:val="30"/>
        </w:rPr>
        <w:t>》第</w:t>
      </w:r>
      <w:hyperlink r:id="rId21" w:history="1">
        <w:r w:rsidRPr="00795C70">
          <w:rPr>
            <w:rFonts w:ascii="宋体" w:eastAsia="宋体" w:hAnsi="宋体"/>
            <w:sz w:val="30"/>
            <w:szCs w:val="30"/>
          </w:rPr>
          <w:t>二百五十三条</w:t>
        </w:r>
      </w:hyperlink>
      <w:r w:rsidRPr="00795C70">
        <w:rPr>
          <w:rFonts w:ascii="宋体" w:eastAsia="宋体" w:hAnsi="宋体"/>
          <w:sz w:val="30"/>
          <w:szCs w:val="30"/>
        </w:rPr>
        <w:t>之规定，加倍支付迟延履行期间的债务利息。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案件受理费3972元，减半收取1986元，由叶友树、陈玉叶、陈立丰负担。</w:t>
      </w:r>
      <w:r w:rsidRPr="00795C70">
        <w:rPr>
          <w:rFonts w:ascii="宋体" w:eastAsia="宋体" w:hAnsi="宋体"/>
          <w:sz w:val="30"/>
          <w:szCs w:val="30"/>
        </w:rPr>
        <w:br/>
        <w:t xml:space="preserve">　　如不服本判决，可在判决书送达之日起十五日内向本院递交上诉状，并按对方当事人的人数提出副本，上诉于浙江省温州市中级人民法院（上诉受理费3972元，至迟在递交上诉状之日起七日内，预交到温州市中级人民法院。汇款户名：温州市财政局非税收入结算户。开户银行：农行温州市分行。账号：xxx。逾期不交按自动撤回上诉处理。）</w:t>
      </w:r>
      <w:r w:rsidRPr="00795C70">
        <w:rPr>
          <w:rFonts w:ascii="宋体" w:eastAsia="宋体" w:hAnsi="宋体"/>
          <w:sz w:val="30"/>
          <w:szCs w:val="30"/>
        </w:rPr>
        <w:br/>
        <w:t xml:space="preserve">　　本判决生效后，负有义务的一方当事人不履行判决确定的义务，另一方当事人应于判决确定义务履行之日起二年内向本院申请执行。</w:t>
      </w:r>
    </w:p>
    <w:p w14:paraId="76BB0CBE" w14:textId="77777777" w:rsidR="002C2514" w:rsidRPr="00795C70" w:rsidRDefault="002C2514">
      <w:pPr>
        <w:jc w:val="right"/>
        <w:rPr>
          <w:rFonts w:ascii="宋体" w:eastAsia="宋体" w:hAnsi="宋体"/>
          <w:sz w:val="30"/>
          <w:szCs w:val="30"/>
        </w:rPr>
      </w:pPr>
      <w:r w:rsidRPr="00795C70">
        <w:rPr>
          <w:rFonts w:ascii="宋体" w:eastAsia="宋体" w:hAnsi="宋体"/>
          <w:sz w:val="30"/>
          <w:szCs w:val="30"/>
        </w:rPr>
        <w:br/>
        <w:t>代理审判员　杨茜茜</w:t>
      </w:r>
      <w:r w:rsidRPr="00795C70">
        <w:rPr>
          <w:rFonts w:ascii="宋体" w:eastAsia="宋体" w:hAnsi="宋体"/>
          <w:sz w:val="30"/>
          <w:szCs w:val="30"/>
        </w:rPr>
        <w:br/>
        <w:t xml:space="preserve">二〇一五年九月三十日　　　　</w:t>
      </w:r>
      <w:r w:rsidRPr="00795C70">
        <w:rPr>
          <w:rFonts w:ascii="宋体" w:eastAsia="宋体" w:hAnsi="宋体"/>
          <w:sz w:val="30"/>
          <w:szCs w:val="30"/>
        </w:rPr>
        <w:br/>
        <w:t>代书　记员　陈唯芝</w:t>
      </w:r>
    </w:p>
    <w:p w14:paraId="00E4DD66" w14:textId="77777777" w:rsidR="002C2514" w:rsidRPr="00795C70" w:rsidRDefault="002C2514">
      <w:pPr>
        <w:spacing w:after="280" w:afterAutospacing="1"/>
        <w:rPr>
          <w:rFonts w:ascii="宋体" w:eastAsia="宋体" w:hAnsi="宋体"/>
          <w:sz w:val="30"/>
          <w:szCs w:val="30"/>
        </w:rPr>
      </w:pPr>
    </w:p>
    <w:sectPr w:rsidR="002C2514" w:rsidRPr="00795C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B9DA" w14:textId="77777777" w:rsidR="00B8702B" w:rsidRDefault="00B8702B" w:rsidP="00B8702B">
      <w:r>
        <w:separator/>
      </w:r>
    </w:p>
  </w:endnote>
  <w:endnote w:type="continuationSeparator" w:id="0">
    <w:p w14:paraId="4B993300" w14:textId="77777777" w:rsidR="00B8702B" w:rsidRDefault="00B8702B" w:rsidP="00B8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35A5" w14:textId="77777777" w:rsidR="00B8702B" w:rsidRDefault="00B8702B" w:rsidP="00B8702B">
      <w:r>
        <w:separator/>
      </w:r>
    </w:p>
  </w:footnote>
  <w:footnote w:type="continuationSeparator" w:id="0">
    <w:p w14:paraId="7F86E74C" w14:textId="77777777" w:rsidR="00B8702B" w:rsidRDefault="00B8702B" w:rsidP="00B87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C2514"/>
    <w:rsid w:val="003F7000"/>
    <w:rsid w:val="006316EF"/>
    <w:rsid w:val="00795C70"/>
    <w:rsid w:val="00AD6A68"/>
    <w:rsid w:val="00B8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B88C73"/>
  <w15:chartTrackingRefBased/>
  <w15:docId w15:val="{E5D6CF27-470B-4815-AC7E-10E0AD72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B8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702B"/>
    <w:rPr>
      <w:sz w:val="18"/>
      <w:szCs w:val="18"/>
    </w:rPr>
  </w:style>
  <w:style w:type="paragraph" w:styleId="a5">
    <w:name w:val="footer"/>
    <w:basedOn w:val="a"/>
    <w:link w:val="a6"/>
    <w:rsid w:val="00B8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70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LC(21651,205)" TargetMode="External"/><Relationship Id="rId13" Type="http://schemas.openxmlformats.org/officeDocument/2006/relationships/hyperlink" Target="javascript:SLC(12418,0)" TargetMode="External"/><Relationship Id="rId18" Type="http://schemas.openxmlformats.org/officeDocument/2006/relationships/hyperlink" Target="javascript:SLC(183386,0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SLC(183386,253)" TargetMode="External"/><Relationship Id="rId7" Type="http://schemas.openxmlformats.org/officeDocument/2006/relationships/hyperlink" Target="javascript:SLC(21651,60)" TargetMode="External"/><Relationship Id="rId12" Type="http://schemas.openxmlformats.org/officeDocument/2006/relationships/hyperlink" Target="javascript:SLC(21651,21)" TargetMode="External"/><Relationship Id="rId17" Type="http://schemas.openxmlformats.org/officeDocument/2006/relationships/hyperlink" Target="javascript:SLC(12418,32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SLC(12418,0)" TargetMode="External"/><Relationship Id="rId20" Type="http://schemas.openxmlformats.org/officeDocument/2006/relationships/hyperlink" Target="javascript:SLC(183386,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LC(21651,0)" TargetMode="External"/><Relationship Id="rId11" Type="http://schemas.openxmlformats.org/officeDocument/2006/relationships/hyperlink" Target="javascript:SLC(21651,0)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SLC(12418,21)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SLC(21651,211)" TargetMode="External"/><Relationship Id="rId19" Type="http://schemas.openxmlformats.org/officeDocument/2006/relationships/hyperlink" Target="javascript:SLC(183386,144)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SLC(21651,206)" TargetMode="External"/><Relationship Id="rId14" Type="http://schemas.openxmlformats.org/officeDocument/2006/relationships/hyperlink" Target="javascript:SLC(12418,18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Links>
    <vt:vector size="96" baseType="variant">
      <vt:variant>
        <vt:i4>6553647</vt:i4>
      </vt:variant>
      <vt:variant>
        <vt:i4>45</vt:i4>
      </vt:variant>
      <vt:variant>
        <vt:i4>0</vt:i4>
      </vt:variant>
      <vt:variant>
        <vt:i4>5</vt:i4>
      </vt:variant>
      <vt:variant>
        <vt:lpwstr>javascript:SLC(183386,253)</vt:lpwstr>
      </vt:variant>
      <vt:variant>
        <vt:lpwstr/>
      </vt:variant>
      <vt:variant>
        <vt:i4>5308446</vt:i4>
      </vt:variant>
      <vt:variant>
        <vt:i4>42</vt:i4>
      </vt:variant>
      <vt:variant>
        <vt:i4>0</vt:i4>
      </vt:variant>
      <vt:variant>
        <vt:i4>5</vt:i4>
      </vt:variant>
      <vt:variant>
        <vt:lpwstr>javascript:SLC(183386,0)</vt:lpwstr>
      </vt:variant>
      <vt:variant>
        <vt:lpwstr/>
      </vt:variant>
      <vt:variant>
        <vt:i4>6619179</vt:i4>
      </vt:variant>
      <vt:variant>
        <vt:i4>39</vt:i4>
      </vt:variant>
      <vt:variant>
        <vt:i4>0</vt:i4>
      </vt:variant>
      <vt:variant>
        <vt:i4>5</vt:i4>
      </vt:variant>
      <vt:variant>
        <vt:lpwstr>javascript:SLC(183386,144)</vt:lpwstr>
      </vt:variant>
      <vt:variant>
        <vt:lpwstr/>
      </vt:variant>
      <vt:variant>
        <vt:i4>5308446</vt:i4>
      </vt:variant>
      <vt:variant>
        <vt:i4>36</vt:i4>
      </vt:variant>
      <vt:variant>
        <vt:i4>0</vt:i4>
      </vt:variant>
      <vt:variant>
        <vt:i4>5</vt:i4>
      </vt:variant>
      <vt:variant>
        <vt:lpwstr>javascript:SLC(183386,0)</vt:lpwstr>
      </vt:variant>
      <vt:variant>
        <vt:lpwstr/>
      </vt:variant>
      <vt:variant>
        <vt:i4>4784142</vt:i4>
      </vt:variant>
      <vt:variant>
        <vt:i4>33</vt:i4>
      </vt:variant>
      <vt:variant>
        <vt:i4>0</vt:i4>
      </vt:variant>
      <vt:variant>
        <vt:i4>5</vt:i4>
      </vt:variant>
      <vt:variant>
        <vt:lpwstr>javascript:SLC(12418,32)</vt:lpwstr>
      </vt:variant>
      <vt:variant>
        <vt:lpwstr/>
      </vt:variant>
      <vt:variant>
        <vt:i4>6488124</vt:i4>
      </vt:variant>
      <vt:variant>
        <vt:i4>30</vt:i4>
      </vt:variant>
      <vt:variant>
        <vt:i4>0</vt:i4>
      </vt:variant>
      <vt:variant>
        <vt:i4>5</vt:i4>
      </vt:variant>
      <vt:variant>
        <vt:lpwstr>javascript:SLC(12418,0)</vt:lpwstr>
      </vt:variant>
      <vt:variant>
        <vt:lpwstr/>
      </vt:variant>
      <vt:variant>
        <vt:i4>4718605</vt:i4>
      </vt:variant>
      <vt:variant>
        <vt:i4>27</vt:i4>
      </vt:variant>
      <vt:variant>
        <vt:i4>0</vt:i4>
      </vt:variant>
      <vt:variant>
        <vt:i4>5</vt:i4>
      </vt:variant>
      <vt:variant>
        <vt:lpwstr>javascript:SLC(12418,21)</vt:lpwstr>
      </vt:variant>
      <vt:variant>
        <vt:lpwstr/>
      </vt:variant>
      <vt:variant>
        <vt:i4>4915204</vt:i4>
      </vt:variant>
      <vt:variant>
        <vt:i4>24</vt:i4>
      </vt:variant>
      <vt:variant>
        <vt:i4>0</vt:i4>
      </vt:variant>
      <vt:variant>
        <vt:i4>5</vt:i4>
      </vt:variant>
      <vt:variant>
        <vt:lpwstr>javascript:SLC(12418,18)</vt:lpwstr>
      </vt:variant>
      <vt:variant>
        <vt:lpwstr/>
      </vt:variant>
      <vt:variant>
        <vt:i4>6488124</vt:i4>
      </vt:variant>
      <vt:variant>
        <vt:i4>21</vt:i4>
      </vt:variant>
      <vt:variant>
        <vt:i4>0</vt:i4>
      </vt:variant>
      <vt:variant>
        <vt:i4>5</vt:i4>
      </vt:variant>
      <vt:variant>
        <vt:lpwstr>javascript:SLC(12418,0)</vt:lpwstr>
      </vt:variant>
      <vt:variant>
        <vt:lpwstr/>
      </vt:variant>
      <vt:variant>
        <vt:i4>4194314</vt:i4>
      </vt:variant>
      <vt:variant>
        <vt:i4>18</vt:i4>
      </vt:variant>
      <vt:variant>
        <vt:i4>0</vt:i4>
      </vt:variant>
      <vt:variant>
        <vt:i4>5</vt:i4>
      </vt:variant>
      <vt:variant>
        <vt:lpwstr>javascript:SLC(21651,21)</vt:lpwstr>
      </vt:variant>
      <vt:variant>
        <vt:lpwstr/>
      </vt:variant>
      <vt:variant>
        <vt:i4>7012411</vt:i4>
      </vt:variant>
      <vt:variant>
        <vt:i4>15</vt:i4>
      </vt:variant>
      <vt:variant>
        <vt:i4>0</vt:i4>
      </vt:variant>
      <vt:variant>
        <vt:i4>5</vt:i4>
      </vt:variant>
      <vt:variant>
        <vt:lpwstr>javascript:SLC(21651,0)</vt:lpwstr>
      </vt:variant>
      <vt:variant>
        <vt:lpwstr/>
      </vt:variant>
      <vt:variant>
        <vt:i4>5767178</vt:i4>
      </vt:variant>
      <vt:variant>
        <vt:i4>12</vt:i4>
      </vt:variant>
      <vt:variant>
        <vt:i4>0</vt:i4>
      </vt:variant>
      <vt:variant>
        <vt:i4>5</vt:i4>
      </vt:variant>
      <vt:variant>
        <vt:lpwstr>javascript:SLC(21651,211)</vt:lpwstr>
      </vt:variant>
      <vt:variant>
        <vt:lpwstr/>
      </vt:variant>
      <vt:variant>
        <vt:i4>6225931</vt:i4>
      </vt:variant>
      <vt:variant>
        <vt:i4>9</vt:i4>
      </vt:variant>
      <vt:variant>
        <vt:i4>0</vt:i4>
      </vt:variant>
      <vt:variant>
        <vt:i4>5</vt:i4>
      </vt:variant>
      <vt:variant>
        <vt:lpwstr>javascript:SLC(21651,206)</vt:lpwstr>
      </vt:variant>
      <vt:variant>
        <vt:lpwstr/>
      </vt:variant>
      <vt:variant>
        <vt:i4>6029323</vt:i4>
      </vt:variant>
      <vt:variant>
        <vt:i4>6</vt:i4>
      </vt:variant>
      <vt:variant>
        <vt:i4>0</vt:i4>
      </vt:variant>
      <vt:variant>
        <vt:i4>5</vt:i4>
      </vt:variant>
      <vt:variant>
        <vt:lpwstr>javascript:SLC(21651,205)</vt:lpwstr>
      </vt:variant>
      <vt:variant>
        <vt:lpwstr/>
      </vt:variant>
      <vt:variant>
        <vt:i4>4456459</vt:i4>
      </vt:variant>
      <vt:variant>
        <vt:i4>3</vt:i4>
      </vt:variant>
      <vt:variant>
        <vt:i4>0</vt:i4>
      </vt:variant>
      <vt:variant>
        <vt:i4>5</vt:i4>
      </vt:variant>
      <vt:variant>
        <vt:lpwstr>javascript:SLC(21651,60)</vt:lpwstr>
      </vt:variant>
      <vt:variant>
        <vt:lpwstr/>
      </vt:variant>
      <vt:variant>
        <vt:i4>7012411</vt:i4>
      </vt:variant>
      <vt:variant>
        <vt:i4>0</vt:i4>
      </vt:variant>
      <vt:variant>
        <vt:i4>0</vt:i4>
      </vt:variant>
      <vt:variant>
        <vt:i4>5</vt:i4>
      </vt:variant>
      <vt:variant>
        <vt:lpwstr>javascript:SLC(21651,0)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Jiahui</dc:creator>
  <cp:keywords/>
  <cp:lastModifiedBy>蒋 沛文</cp:lastModifiedBy>
  <cp:revision>2</cp:revision>
  <cp:lastPrinted>1601-01-01T00:00:00Z</cp:lastPrinted>
  <dcterms:created xsi:type="dcterms:W3CDTF">2024-05-11T16:29:00Z</dcterms:created>
  <dcterms:modified xsi:type="dcterms:W3CDTF">2024-05-11T16:29:00Z</dcterms:modified>
</cp:coreProperties>
</file>