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G4B-3（c）</w:t>
      </w:r>
      <w:r>
        <w:t>《</w:t>
      </w:r>
      <w:r>
        <w:rPr>
          <w:rFonts w:hint="eastAsia"/>
        </w:rPr>
        <w:t>信用估值调整和中央交易对手风险加权资产计算表(权重法)</w:t>
      </w:r>
      <w:r>
        <w:t>》</w:t>
      </w:r>
      <w:r>
        <w:rPr>
          <w:rFonts w:hint="eastAsia"/>
        </w:rPr>
        <w:t>(第一档银行)(新规)</w:t>
      </w:r>
      <w:r>
        <w:t>填报说明</w:t>
      </w:r>
    </w:p>
    <w:p>
      <w:pPr>
        <w:spacing w:line="440" w:lineRule="exact"/>
        <w:rPr>
          <w:b/>
          <w:bCs/>
          <w:szCs w:val="21"/>
        </w:rPr>
      </w:pPr>
    </w:p>
    <w:p>
      <w:pPr>
        <w:spacing w:line="440" w:lineRule="exact"/>
        <w:rPr>
          <w:b/>
          <w:bCs/>
          <w:szCs w:val="21"/>
        </w:rPr>
      </w:pPr>
      <w:r>
        <w:rPr>
          <w:b/>
          <w:bCs/>
          <w:szCs w:val="21"/>
        </w:rPr>
        <w:t>第一部分：引言</w:t>
      </w:r>
    </w:p>
    <w:p>
      <w:pPr>
        <w:spacing w:line="440" w:lineRule="exact"/>
        <w:ind w:firstLine="420" w:firstLineChars="200"/>
        <w:rPr>
          <w:szCs w:val="21"/>
        </w:rPr>
      </w:pPr>
      <w:r>
        <w:rPr>
          <w:szCs w:val="21"/>
        </w:rPr>
        <w:t>本表根据《商业银行资本管理办法》</w:t>
      </w:r>
      <w:r>
        <w:rPr>
          <w:rFonts w:hint="eastAsia"/>
          <w:szCs w:val="21"/>
        </w:rPr>
        <w:t>（以下简称《办法》））</w:t>
      </w:r>
      <w:r>
        <w:rPr>
          <w:szCs w:val="21"/>
        </w:rPr>
        <w:t>的相关要求</w:t>
      </w:r>
      <w:r>
        <w:rPr>
          <w:rFonts w:hint="eastAsia"/>
          <w:szCs w:val="21"/>
        </w:rPr>
        <w:t>制定。</w:t>
      </w:r>
      <w:r>
        <w:rPr>
          <w:szCs w:val="21"/>
        </w:rPr>
        <w:t>商业银行应制定与其交易活动的特征、复杂程度和风险暴露水平相适应的交易对手信用风险管理政策和程序，应计量</w:t>
      </w:r>
      <w:r>
        <w:rPr>
          <w:rFonts w:hint="eastAsia"/>
          <w:szCs w:val="21"/>
        </w:rPr>
        <w:t>银行账簿</w:t>
      </w:r>
      <w:r>
        <w:rPr>
          <w:szCs w:val="21"/>
        </w:rPr>
        <w:t>和</w:t>
      </w:r>
      <w:r>
        <w:rPr>
          <w:rFonts w:hint="eastAsia"/>
          <w:szCs w:val="21"/>
        </w:rPr>
        <w:t>交易账簿</w:t>
      </w:r>
      <w:r>
        <w:rPr>
          <w:szCs w:val="21"/>
        </w:rPr>
        <w:t>的交易对手信用风险加权资产。</w:t>
      </w:r>
      <w:r>
        <w:rPr>
          <w:rFonts w:hint="eastAsia"/>
          <w:szCs w:val="21"/>
        </w:rPr>
        <w:t>《办法》中的《附件17：信用估值调整风险加权资产计量规则》和《附件10：中央交易对手风险暴露资本计量规则》规定了</w:t>
      </w:r>
      <w:r>
        <w:rPr>
          <w:szCs w:val="21"/>
        </w:rPr>
        <w:t>具体</w:t>
      </w:r>
      <w:r>
        <w:rPr>
          <w:rFonts w:hint="eastAsia"/>
          <w:szCs w:val="21"/>
        </w:rPr>
        <w:t>信用估值调整和中央</w:t>
      </w:r>
      <w:r>
        <w:rPr>
          <w:szCs w:val="21"/>
        </w:rPr>
        <w:t>交易对手风险加权资产计算</w:t>
      </w:r>
      <w:r>
        <w:rPr>
          <w:rFonts w:hint="eastAsia"/>
          <w:szCs w:val="21"/>
        </w:rPr>
        <w:t>方法</w:t>
      </w:r>
      <w:r>
        <w:rPr>
          <w:szCs w:val="21"/>
        </w:rPr>
        <w:t>。</w:t>
      </w:r>
    </w:p>
    <w:p>
      <w:pPr>
        <w:spacing w:line="440" w:lineRule="exact"/>
        <w:rPr>
          <w:b/>
          <w:bCs/>
          <w:szCs w:val="21"/>
        </w:rPr>
      </w:pPr>
      <w:r>
        <w:rPr>
          <w:b/>
          <w:bCs/>
          <w:szCs w:val="21"/>
        </w:rPr>
        <w:t>第二部分：一般说明</w:t>
      </w:r>
    </w:p>
    <w:p>
      <w:pPr>
        <w:spacing w:line="440" w:lineRule="exact"/>
        <w:ind w:firstLine="420" w:firstLineChars="200"/>
        <w:rPr>
          <w:szCs w:val="21"/>
        </w:rPr>
      </w:pPr>
      <w:r>
        <w:rPr>
          <w:szCs w:val="21"/>
        </w:rPr>
        <w:t>1．报表名称：</w:t>
      </w:r>
      <w:r>
        <w:rPr>
          <w:rFonts w:hint="eastAsia"/>
          <w:szCs w:val="21"/>
        </w:rPr>
        <w:t>信用估值调整和中央</w:t>
      </w:r>
      <w:r>
        <w:rPr>
          <w:szCs w:val="21"/>
        </w:rPr>
        <w:t>交易对手风险加权资产</w:t>
      </w:r>
      <w:r>
        <w:rPr>
          <w:rFonts w:hint="eastAsia"/>
        </w:rPr>
        <w:t>计算表(权重法)。</w:t>
      </w:r>
    </w:p>
    <w:p>
      <w:pPr>
        <w:spacing w:line="440" w:lineRule="exact"/>
        <w:ind w:firstLine="420" w:firstLineChars="200"/>
        <w:rPr>
          <w:szCs w:val="21"/>
        </w:rPr>
      </w:pPr>
      <w:r>
        <w:rPr>
          <w:bCs/>
          <w:szCs w:val="21"/>
        </w:rPr>
        <w:t>2．报表编码</w:t>
      </w:r>
      <w:r>
        <w:rPr>
          <w:szCs w:val="21"/>
        </w:rPr>
        <w:t>：</w:t>
      </w:r>
      <w:r>
        <w:rPr>
          <w:rFonts w:hint="eastAsia"/>
          <w:szCs w:val="21"/>
          <w:lang w:eastAsia="zh-CN"/>
        </w:rPr>
        <w:t>金</w:t>
      </w:r>
      <w:bookmarkStart w:id="2" w:name="_GoBack"/>
      <w:bookmarkEnd w:id="2"/>
      <w:r>
        <w:rPr>
          <w:szCs w:val="21"/>
        </w:rPr>
        <w:t>监统</w:t>
      </w:r>
      <w:r>
        <w:rPr>
          <w:rFonts w:hint="eastAsia"/>
          <w:szCs w:val="21"/>
        </w:rPr>
        <w:t>0045</w:t>
      </w:r>
      <w:r>
        <w:rPr>
          <w:szCs w:val="21"/>
        </w:rPr>
        <w:t>号</w:t>
      </w:r>
      <w:r>
        <w:rPr>
          <w:rFonts w:hint="eastAsia"/>
          <w:szCs w:val="21"/>
        </w:rPr>
        <w:t>。</w:t>
      </w:r>
    </w:p>
    <w:p>
      <w:pPr>
        <w:spacing w:line="440" w:lineRule="exact"/>
        <w:ind w:firstLine="420" w:firstLineChars="200"/>
        <w:rPr>
          <w:szCs w:val="21"/>
        </w:rPr>
      </w:pPr>
      <w:r>
        <w:rPr>
          <w:szCs w:val="21"/>
        </w:rPr>
        <w:t>3．填报机构：</w:t>
      </w:r>
      <w:r>
        <w:rPr>
          <w:rFonts w:hint="eastAsia" w:ascii="宋体" w:hAnsi="宋体"/>
          <w:szCs w:val="21"/>
        </w:rPr>
        <w:t>大型商业银行（含邮储银行）、股份制商业银行、城市商业银行、农村商业银行、外资法人银行和外国银行分行(仅报人民币账户数据)，以及开发性金融机构和政策性银行，农村合作银行、农村信用合作社、村镇银行、企业集团财务公司</w:t>
      </w:r>
      <w:r>
        <w:rPr>
          <w:rFonts w:ascii="宋体" w:hAnsi="宋体"/>
          <w:szCs w:val="21"/>
        </w:rPr>
        <w:t>。</w:t>
      </w:r>
    </w:p>
    <w:p>
      <w:pPr>
        <w:spacing w:line="440" w:lineRule="exact"/>
        <w:ind w:firstLine="420" w:firstLineChars="200"/>
        <w:rPr>
          <w:szCs w:val="21"/>
        </w:rPr>
      </w:pPr>
      <w:r>
        <w:rPr>
          <w:szCs w:val="21"/>
        </w:rPr>
        <w:t>4</w:t>
      </w:r>
      <w:r>
        <w:rPr>
          <w:bCs/>
          <w:szCs w:val="21"/>
        </w:rPr>
        <w:t>．</w:t>
      </w:r>
      <w:r>
        <w:rPr>
          <w:szCs w:val="21"/>
        </w:rPr>
        <w:t>报表口径、频度及时间：法人汇总数据（季报）为季后18日内、合并报表数据（</w:t>
      </w:r>
      <w:r>
        <w:rPr>
          <w:rFonts w:hint="eastAsia"/>
          <w:szCs w:val="21"/>
        </w:rPr>
        <w:t>季</w:t>
      </w:r>
      <w:r>
        <w:rPr>
          <w:szCs w:val="21"/>
        </w:rPr>
        <w:t>报）为</w:t>
      </w:r>
      <w:r>
        <w:rPr>
          <w:rFonts w:hint="eastAsia"/>
          <w:szCs w:val="21"/>
        </w:rPr>
        <w:t>季</w:t>
      </w:r>
      <w:r>
        <w:rPr>
          <w:szCs w:val="21"/>
        </w:rPr>
        <w:t>后40日内。</w:t>
      </w:r>
    </w:p>
    <w:p>
      <w:pPr>
        <w:spacing w:line="440" w:lineRule="exact"/>
        <w:ind w:firstLine="420" w:firstLineChars="200"/>
        <w:rPr>
          <w:szCs w:val="21"/>
        </w:rPr>
      </w:pPr>
      <w:r>
        <w:rPr>
          <w:szCs w:val="21"/>
        </w:rPr>
        <w:t>5</w:t>
      </w:r>
      <w:r>
        <w:rPr>
          <w:bCs/>
          <w:szCs w:val="21"/>
        </w:rPr>
        <w:t>．</w:t>
      </w:r>
      <w:r>
        <w:rPr>
          <w:szCs w:val="21"/>
        </w:rPr>
        <w:t>报送方式：以工作底稿形式汇总反映在相关报表中。</w:t>
      </w:r>
    </w:p>
    <w:p>
      <w:pPr>
        <w:spacing w:line="440" w:lineRule="exact"/>
        <w:ind w:firstLine="420" w:firstLineChars="200"/>
        <w:rPr>
          <w:szCs w:val="21"/>
        </w:rPr>
      </w:pPr>
      <w:r>
        <w:rPr>
          <w:szCs w:val="21"/>
        </w:rPr>
        <w:t>6．数据单位：万元。</w:t>
      </w:r>
    </w:p>
    <w:p>
      <w:pPr>
        <w:spacing w:line="440" w:lineRule="exact"/>
        <w:ind w:firstLine="420" w:firstLineChars="200"/>
        <w:rPr>
          <w:szCs w:val="21"/>
        </w:rPr>
      </w:pPr>
      <w:r>
        <w:rPr>
          <w:szCs w:val="21"/>
        </w:rPr>
        <w:t>7．四舍五入要求：金额保留两位小数。</w:t>
      </w:r>
    </w:p>
    <w:p>
      <w:pPr>
        <w:spacing w:line="440" w:lineRule="exact"/>
        <w:ind w:firstLine="420" w:firstLineChars="200"/>
        <w:rPr>
          <w:szCs w:val="21"/>
        </w:rPr>
      </w:pPr>
      <w:r>
        <w:rPr>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bCs/>
          <w:szCs w:val="21"/>
        </w:rPr>
        <w:t>。</w:t>
      </w:r>
    </w:p>
    <w:p>
      <w:pPr>
        <w:spacing w:line="440" w:lineRule="exact"/>
        <w:rPr>
          <w:b/>
          <w:bCs/>
          <w:szCs w:val="21"/>
        </w:rPr>
      </w:pPr>
      <w:r>
        <w:rPr>
          <w:b/>
          <w:bCs/>
          <w:szCs w:val="21"/>
        </w:rPr>
        <w:t>第</w:t>
      </w:r>
      <w:r>
        <w:rPr>
          <w:rFonts w:hint="eastAsia"/>
          <w:b/>
          <w:bCs/>
          <w:szCs w:val="21"/>
        </w:rPr>
        <w:t>三</w:t>
      </w:r>
      <w:r>
        <w:rPr>
          <w:b/>
          <w:bCs/>
          <w:szCs w:val="21"/>
        </w:rPr>
        <w:t>部分：</w:t>
      </w:r>
      <w:r>
        <w:rPr>
          <w:rFonts w:hint="eastAsia"/>
          <w:b/>
          <w:bCs/>
          <w:szCs w:val="21"/>
        </w:rPr>
        <w:t>具体</w:t>
      </w:r>
      <w:r>
        <w:rPr>
          <w:b/>
          <w:bCs/>
          <w:szCs w:val="21"/>
        </w:rPr>
        <w:t>说明</w:t>
      </w:r>
    </w:p>
    <w:p>
      <w:pPr>
        <w:spacing w:line="440" w:lineRule="exact"/>
        <w:ind w:firstLine="420" w:firstLineChars="200"/>
        <w:rPr>
          <w:szCs w:val="21"/>
        </w:rPr>
      </w:pPr>
      <w:r>
        <w:rPr>
          <w:rFonts w:hint="eastAsia"/>
          <w:bCs/>
          <w:szCs w:val="21"/>
        </w:rPr>
        <w:t>《G4B-3</w:t>
      </w:r>
      <w:r>
        <w:rPr>
          <w:rFonts w:hint="eastAsia"/>
        </w:rPr>
        <w:t>（c）</w:t>
      </w:r>
      <w:r>
        <w:rPr>
          <w:rFonts w:hint="eastAsia"/>
          <w:szCs w:val="21"/>
        </w:rPr>
        <w:t>信用估值调整和中央</w:t>
      </w:r>
      <w:r>
        <w:rPr>
          <w:szCs w:val="21"/>
        </w:rPr>
        <w:t>交易对手风险加权资产</w:t>
      </w:r>
      <w:r>
        <w:rPr>
          <w:rFonts w:hint="eastAsia"/>
        </w:rPr>
        <w:t>计算表(权重法)</w:t>
      </w:r>
      <w:r>
        <w:rPr>
          <w:rFonts w:hint="eastAsia"/>
          <w:bCs/>
          <w:szCs w:val="21"/>
        </w:rPr>
        <w:t>》表包括两部分，第Ⅰ部分是信用估值调整风险加权资产计算表，第Ⅱ部分是中央交易对手风险加权资产（权重法）计算表。</w:t>
      </w:r>
    </w:p>
    <w:p>
      <w:pPr>
        <w:spacing w:line="440" w:lineRule="exact"/>
        <w:ind w:firstLine="421" w:firstLineChars="200"/>
        <w:rPr>
          <w:b/>
          <w:szCs w:val="21"/>
        </w:rPr>
      </w:pPr>
      <w:r>
        <w:rPr>
          <w:rFonts w:hint="eastAsia"/>
          <w:b/>
          <w:szCs w:val="21"/>
        </w:rPr>
        <w:t>第Ⅰ部分</w:t>
      </w:r>
      <w:r>
        <w:rPr>
          <w:b/>
          <w:szCs w:val="21"/>
        </w:rPr>
        <w:t>：信用估值调整风险加权资产计算表</w:t>
      </w:r>
    </w:p>
    <w:p>
      <w:pPr>
        <w:pStyle w:val="47"/>
        <w:spacing w:line="440" w:lineRule="exact"/>
        <w:ind w:firstLine="420" w:firstLineChars="200"/>
        <w:jc w:val="both"/>
        <w:rPr>
          <w:rFonts w:ascii="Times New Roman" w:hAnsi="Times New Roman" w:cs="Times New Roman"/>
          <w:bCs/>
          <w:color w:val="auto"/>
          <w:kern w:val="2"/>
          <w:sz w:val="21"/>
          <w:szCs w:val="21"/>
        </w:rPr>
      </w:pPr>
      <w:r>
        <w:rPr>
          <w:rFonts w:hint="eastAsia" w:ascii="Times New Roman" w:hAnsi="Times New Roman" w:cs="Times New Roman"/>
          <w:bCs/>
          <w:color w:val="auto"/>
          <w:kern w:val="2"/>
          <w:sz w:val="21"/>
          <w:szCs w:val="21"/>
        </w:rPr>
        <w:t>信用估值调整风险是指交易对手信用状况恶化、信用利差扩大导致商业银行衍生工具交易发生损失的风险。根据《办法》的相关要求，填报机构应根据逐笔交易信息和对应的对冲工具来计算信用估值调整风险加权资产。填报机构无需计量证券融资交易的信用估值调整资本要求，其中，证券融资交易的范围见《办法》附件9第一部分（五）。</w:t>
      </w:r>
    </w:p>
    <w:p>
      <w:pPr>
        <w:spacing w:line="440" w:lineRule="exact"/>
        <w:ind w:firstLine="420" w:firstLineChars="200"/>
        <w:rPr>
          <w:bCs/>
          <w:szCs w:val="21"/>
        </w:rPr>
      </w:pPr>
      <w:r>
        <w:rPr>
          <w:rFonts w:hint="eastAsia"/>
          <w:bCs/>
          <w:szCs w:val="21"/>
        </w:rPr>
        <w:t>对于证券融资交易信用估值调整风险较大的商业银行，国家金融监督管理总局有权要求其额外计提该类业务的信用估值调整风险资本。</w:t>
      </w:r>
    </w:p>
    <w:p>
      <w:pPr>
        <w:pStyle w:val="47"/>
        <w:spacing w:line="440" w:lineRule="exact"/>
        <w:ind w:firstLine="420" w:firstLineChars="200"/>
        <w:jc w:val="both"/>
        <w:rPr>
          <w:rFonts w:ascii="Times New Roman" w:hAnsi="Times New Roman" w:cs="Times New Roman"/>
          <w:bCs/>
          <w:color w:val="auto"/>
          <w:kern w:val="2"/>
          <w:sz w:val="21"/>
          <w:szCs w:val="21"/>
        </w:rPr>
      </w:pPr>
      <w:r>
        <w:rPr>
          <w:rFonts w:hint="eastAsia" w:ascii="Times New Roman" w:hAnsi="Times New Roman" w:cs="Times New Roman"/>
          <w:bCs/>
          <w:color w:val="auto"/>
          <w:kern w:val="2"/>
          <w:sz w:val="21"/>
          <w:szCs w:val="21"/>
        </w:rPr>
        <w:t>填报机构非合格中央交易对手衍生工具名义金额合计小于或等于8000亿元的，可采用简化方法，即取交易对手违约风险资本要求作为其信用估值调整资本要求。在此情况下，不认可信用估值调整对冲影响。商业银行如变更信用估值调整风险计量方法，应经国家金融监督管理总局或其派出机构认可。</w:t>
      </w:r>
    </w:p>
    <w:p>
      <w:pPr>
        <w:spacing w:line="440" w:lineRule="exact"/>
        <w:ind w:firstLine="420" w:firstLineChars="200"/>
        <w:rPr>
          <w:bCs/>
          <w:szCs w:val="21"/>
        </w:rPr>
      </w:pPr>
      <w:r>
        <w:rPr>
          <w:rFonts w:hint="eastAsia"/>
          <w:bCs/>
          <w:szCs w:val="21"/>
        </w:rPr>
        <w:t>信用估值调整资本要求的计算分为简化版和完整版。存在信用估值调整风险合格对冲的填报机构可适用完整版。</w:t>
      </w:r>
    </w:p>
    <w:p>
      <w:pPr>
        <w:pStyle w:val="47"/>
        <w:numPr>
          <w:ilvl w:val="0"/>
          <w:numId w:val="1"/>
        </w:numPr>
        <w:spacing w:line="440" w:lineRule="exact"/>
        <w:ind w:firstLine="420" w:firstLineChars="200"/>
        <w:jc w:val="both"/>
        <w:rPr>
          <w:rFonts w:ascii="Times New Roman" w:hAnsi="Times New Roman" w:cs="Times New Roman"/>
          <w:color w:val="auto"/>
          <w:kern w:val="2"/>
          <w:sz w:val="21"/>
          <w:szCs w:val="21"/>
        </w:rPr>
      </w:pPr>
      <w:r>
        <w:rPr>
          <w:rFonts w:ascii="Times New Roman" w:hAnsi="Times New Roman" w:cs="Times New Roman"/>
          <w:color w:val="auto"/>
          <w:kern w:val="2"/>
          <w:sz w:val="21"/>
          <w:szCs w:val="21"/>
        </w:rPr>
        <w:t>信用估值调整</w:t>
      </w:r>
      <w:r>
        <w:rPr>
          <w:rFonts w:hint="eastAsia" w:ascii="Times New Roman" w:hAnsi="Times New Roman" w:cs="Times New Roman"/>
          <w:color w:val="auto"/>
          <w:kern w:val="2"/>
          <w:sz w:val="21"/>
          <w:szCs w:val="21"/>
        </w:rPr>
        <w:t>简化版</w:t>
      </w:r>
      <w:r>
        <w:rPr>
          <w:rFonts w:ascii="Times New Roman" w:hAnsi="Times New Roman" w:cs="Times New Roman"/>
          <w:color w:val="auto"/>
          <w:kern w:val="2"/>
          <w:sz w:val="21"/>
          <w:szCs w:val="21"/>
        </w:rPr>
        <w:t>风险加权资产的计算公式</w:t>
      </w:r>
    </w:p>
    <w:p>
      <w:pPr>
        <w:pStyle w:val="47"/>
        <w:spacing w:line="440" w:lineRule="exact"/>
        <w:ind w:firstLine="420" w:firstLineChars="200"/>
        <w:jc w:val="both"/>
        <w:rPr>
          <w:rFonts w:ascii="宋体" w:hAnsi="宋体" w:cs="宋体"/>
          <w:sz w:val="21"/>
          <w:szCs w:val="21"/>
        </w:rPr>
      </w:pPr>
      <w:r>
        <w:rPr>
          <w:rFonts w:hint="eastAsia" w:ascii="宋体" w:hAnsi="宋体" w:cs="宋体"/>
          <w:sz w:val="21"/>
          <w:szCs w:val="21"/>
        </w:rPr>
        <w:t>[1.简化版]</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sz w:val="21"/>
          <w:szCs w:val="21"/>
        </w:rPr>
        <w:t>（1）</w:t>
      </w:r>
      <w:r>
        <w:rPr>
          <w:rFonts w:hint="eastAsia" w:ascii="Times New Roman" w:hAnsi="Times New Roman" w:cs="Times New Roman"/>
          <w:bCs/>
          <w:color w:val="auto"/>
          <w:kern w:val="2"/>
          <w:sz w:val="21"/>
          <w:szCs w:val="21"/>
        </w:rPr>
        <w:t>填报机构</w:t>
      </w:r>
      <w:r>
        <w:rPr>
          <w:rFonts w:hint="eastAsia" w:ascii="宋体" w:hAnsi="宋体" w:cs="宋体"/>
          <w:sz w:val="21"/>
          <w:szCs w:val="21"/>
        </w:rPr>
        <w:t>应采用以下公式计算信用估值调整风险加权资</w:t>
      </w:r>
      <w:r>
        <w:rPr>
          <w:rFonts w:hint="eastAsia" w:ascii="宋体" w:hAnsi="宋体" w:cs="宋体"/>
          <w:color w:val="auto"/>
          <w:kern w:val="2"/>
          <w:sz w:val="21"/>
          <w:szCs w:val="21"/>
        </w:rPr>
        <w:t>产：</w:t>
      </w:r>
    </w:p>
    <w:p>
      <w:pPr>
        <w:pStyle w:val="47"/>
        <w:spacing w:line="480" w:lineRule="exact"/>
        <w:ind w:firstLine="480" w:firstLineChars="200"/>
        <w:jc w:val="center"/>
        <w:rPr>
          <w:rFonts w:ascii="Times New Roman" w:hAnsi="Times New Roman" w:cs="Times New Roman"/>
          <w:i/>
        </w:rPr>
      </w:pPr>
      <m:oMathPara>
        <m:oMath>
          <m:r>
            <m:rPr/>
            <w:rPr>
              <w:rFonts w:ascii="Cambria Math" w:hAnsi="Cambria Math" w:cs="Times New Roman"/>
            </w:rPr>
            <m:t>CVA</m:t>
          </m:r>
          <m:r>
            <m:rPr>
              <m:sty m:val="p"/>
            </m:rPr>
            <w:rPr>
              <w:rFonts w:hint="eastAsia" w:ascii="Cambria Math" w:hAnsi="Cambria Math" w:cs="Times New Roman"/>
            </w:rPr>
            <m:t>风险加权资产</m:t>
          </m:r>
          <m:r>
            <m:rPr/>
            <w:rPr>
              <w:rFonts w:ascii="Cambria Math" w:hAnsi="Cambria Math" w:cs="Times New Roman"/>
            </w:rPr>
            <m:t>=12.5×0.65×</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reduced</m:t>
              </m:r>
              <m:ctrlPr>
                <w:rPr>
                  <w:rFonts w:ascii="Cambria Math" w:hAnsi="Cambria Math" w:cs="Times New Roman"/>
                  <w:i/>
                </w:rPr>
              </m:ctrlPr>
            </m:sub>
          </m:sSub>
        </m:oMath>
      </m:oMathPara>
    </w:p>
    <w:p>
      <w:pPr>
        <w:pStyle w:val="47"/>
        <w:spacing w:line="480" w:lineRule="exact"/>
        <w:ind w:firstLine="480" w:firstLineChars="200"/>
        <w:rPr>
          <w:rFonts w:ascii="宋体" w:hAnsi="宋体" w:cs="宋体"/>
          <w:color w:val="auto"/>
          <w:kern w:val="2"/>
          <w:sz w:val="21"/>
          <w:szCs w:val="21"/>
        </w:rPr>
      </w:pPr>
      <w:r>
        <w:drawing>
          <wp:anchor distT="0" distB="0" distL="114300" distR="114300" simplePos="0" relativeHeight="251659264" behindDoc="0" locked="0" layoutInCell="1" allowOverlap="1">
            <wp:simplePos x="0" y="0"/>
            <wp:positionH relativeFrom="column">
              <wp:posOffset>1388745</wp:posOffset>
            </wp:positionH>
            <wp:positionV relativeFrom="paragraph">
              <wp:posOffset>82550</wp:posOffset>
            </wp:positionV>
            <wp:extent cx="2805430" cy="360680"/>
            <wp:effectExtent l="0" t="0" r="13970" b="1270"/>
            <wp:wrapTopAndBottom/>
            <wp:docPr id="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6"/>
                    <pic:cNvPicPr>
                      <a:picLocks noChangeAspect="1"/>
                    </pic:cNvPicPr>
                  </pic:nvPicPr>
                  <pic:blipFill>
                    <a:blip r:embed="rId5"/>
                    <a:stretch>
                      <a:fillRect/>
                    </a:stretch>
                  </pic:blipFill>
                  <pic:spPr>
                    <a:xfrm>
                      <a:off x="0" y="0"/>
                      <a:ext cx="2805430" cy="360680"/>
                    </a:xfrm>
                    <a:prstGeom prst="rect">
                      <a:avLst/>
                    </a:prstGeom>
                    <a:noFill/>
                    <a:ln>
                      <a:noFill/>
                    </a:ln>
                  </pic:spPr>
                </pic:pic>
              </a:graphicData>
            </a:graphic>
          </wp:anchor>
        </w:drawing>
      </w:r>
      <w:r>
        <w:rPr>
          <w:rFonts w:hint="eastAsia" w:ascii="宋体" w:hAnsi="宋体" w:cs="宋体"/>
          <w:color w:val="auto"/>
          <w:kern w:val="2"/>
          <w:sz w:val="21"/>
          <w:szCs w:val="21"/>
        </w:rPr>
        <w:t>其中：</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25" o:spt="75" type="#_x0000_t75" style="height:15.6pt;width:33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宋体" w:hAnsi="宋体" w:cs="宋体"/>
          <w:color w:val="auto"/>
          <w:kern w:val="2"/>
          <w:sz w:val="21"/>
          <w:szCs w:val="21"/>
        </w:rPr>
        <w:t>是单独考虑交易对手c的信用估值调整资本要求。</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0"/>
          <w:sz w:val="21"/>
          <w:szCs w:val="21"/>
        </w:rPr>
        <w:object>
          <v:shape id="_x0000_i1026" o:spt="75" type="#_x0000_t75" style="height:13.8pt;width:12.6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宋体" w:hAnsi="宋体" w:cs="宋体"/>
          <w:color w:val="auto"/>
          <w:kern w:val="2"/>
          <w:sz w:val="21"/>
          <w:szCs w:val="21"/>
        </w:rPr>
        <w:t>是监管相关系数，</w:t>
      </w:r>
      <w:r>
        <w:rPr>
          <w:rFonts w:hint="eastAsia" w:ascii="宋体" w:hAnsi="宋体" w:cs="宋体"/>
          <w:position w:val="-10"/>
          <w:sz w:val="21"/>
          <w:szCs w:val="21"/>
        </w:rPr>
        <w:object>
          <v:shape id="_x0000_i1027" o:spt="75" type="#_x0000_t75" style="height:13.8pt;width:12.6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宋体" w:hAnsi="宋体" w:cs="宋体"/>
          <w:color w:val="auto"/>
          <w:kern w:val="2"/>
          <w:sz w:val="21"/>
          <w:szCs w:val="21"/>
        </w:rPr>
        <w:t>=0.5。</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（2）单独考虑交易对手c的信用估值调整资本要求</w:t>
      </w:r>
      <w:r>
        <w:rPr>
          <w:rFonts w:hint="eastAsia" w:ascii="宋体" w:hAnsi="宋体" w:cs="宋体"/>
          <w:position w:val="-12"/>
          <w:sz w:val="21"/>
          <w:szCs w:val="21"/>
        </w:rPr>
        <w:object>
          <v:shape id="_x0000_i1028" o:spt="75" type="#_x0000_t75" style="height:19.2pt;width:40.2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宋体" w:hAnsi="宋体" w:cs="宋体"/>
          <w:color w:val="auto"/>
          <w:kern w:val="2"/>
          <w:sz w:val="21"/>
          <w:szCs w:val="21"/>
        </w:rPr>
        <w:t>计算公式如下：</w:t>
      </w:r>
    </w:p>
    <w:p>
      <w:pPr>
        <w:pStyle w:val="47"/>
        <w:ind w:firstLine="480" w:firstLineChars="200"/>
        <w:jc w:val="center"/>
        <w:rPr>
          <w:rFonts w:ascii="宋体" w:hAnsi="宋体" w:cs="宋体"/>
          <w:color w:val="auto"/>
          <w:kern w:val="2"/>
          <w:sz w:val="21"/>
          <w:szCs w:val="21"/>
        </w:rPr>
      </w:pPr>
      <w:r>
        <w:drawing>
          <wp:inline distT="0" distB="0" distL="114300" distR="114300">
            <wp:extent cx="2705735" cy="425450"/>
            <wp:effectExtent l="0" t="0" r="18415" b="12700"/>
            <wp:docPr id="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7"/>
                    <pic:cNvPicPr>
                      <a:picLocks noChangeAspect="1"/>
                    </pic:cNvPicPr>
                  </pic:nvPicPr>
                  <pic:blipFill>
                    <a:blip r:embed="rId14"/>
                    <a:stretch>
                      <a:fillRect/>
                    </a:stretch>
                  </pic:blipFill>
                  <pic:spPr>
                    <a:xfrm>
                      <a:off x="0" y="0"/>
                      <a:ext cx="2705735" cy="425450"/>
                    </a:xfrm>
                    <a:prstGeom prst="rect">
                      <a:avLst/>
                    </a:prstGeom>
                    <a:noFill/>
                    <a:ln>
                      <a:noFill/>
                    </a:ln>
                  </pic:spPr>
                </pic:pic>
              </a:graphicData>
            </a:graphic>
          </wp:inline>
        </w:drawing>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其中：</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29" o:spt="75" type="#_x0000_t75" style="height:18.6pt;width:26.4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宋体" w:hAnsi="宋体" w:cs="宋体"/>
          <w:color w:val="auto"/>
          <w:kern w:val="2"/>
          <w:sz w:val="21"/>
          <w:szCs w:val="21"/>
        </w:rPr>
        <w:t>是交易对手c的风险权重，基于交易对手所在行业和信用水平综合确定。</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4"/>
          <w:sz w:val="21"/>
          <w:szCs w:val="21"/>
        </w:rPr>
        <w:object>
          <v:shape id="_x0000_i1030" o:spt="75" type="#_x0000_t75" style="height:16.2pt;width:25.8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宋体" w:hAnsi="宋体" w:cs="宋体"/>
          <w:color w:val="auto"/>
          <w:kern w:val="2"/>
          <w:sz w:val="21"/>
          <w:szCs w:val="21"/>
        </w:rPr>
        <w:t>是净额结算组合NS的有效期限，详见</w:t>
      </w:r>
      <w:r>
        <w:rPr>
          <w:rFonts w:hint="eastAsia" w:ascii="Times New Roman" w:hAnsi="Times New Roman" w:cs="Times New Roman"/>
          <w:bCs/>
          <w:color w:val="auto"/>
          <w:kern w:val="2"/>
          <w:sz w:val="21"/>
          <w:szCs w:val="21"/>
        </w:rPr>
        <w:t>《办法》</w:t>
      </w:r>
      <w:r>
        <w:rPr>
          <w:rFonts w:hint="eastAsia" w:ascii="宋体" w:hAnsi="宋体" w:cs="宋体"/>
          <w:sz w:val="21"/>
          <w:szCs w:val="21"/>
        </w:rPr>
        <w:t>附件5第六部分（六），且</w:t>
      </w:r>
      <w:r>
        <w:rPr>
          <w:rFonts w:hint="eastAsia" w:ascii="宋体" w:hAnsi="宋体" w:cs="宋体"/>
          <w:position w:val="-14"/>
          <w:sz w:val="21"/>
          <w:szCs w:val="21"/>
        </w:rPr>
        <w:object>
          <v:shape id="_x0000_i1031" o:spt="75" type="#_x0000_t75" style="height:16.2pt;width:26.4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宋体" w:hAnsi="宋体" w:cs="宋体"/>
          <w:sz w:val="21"/>
          <w:szCs w:val="21"/>
        </w:rPr>
        <w:t>不受上限（5年）和下限（1年）的限制</w:t>
      </w:r>
      <w:r>
        <w:rPr>
          <w:rFonts w:hint="eastAsia" w:ascii="宋体" w:hAnsi="宋体" w:cs="宋体"/>
          <w:color w:val="auto"/>
          <w:kern w:val="2"/>
          <w:sz w:val="21"/>
          <w:szCs w:val="21"/>
        </w:rPr>
        <w:t>。对于双边非净额结算交易，单笔交易视为一个净额结算组合。</w:t>
      </w:r>
    </w:p>
    <w:p>
      <w:pPr>
        <w:pStyle w:val="47"/>
        <w:spacing w:line="44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32" o:spt="75" type="#_x0000_t75" style="height:16.2pt;width:37.2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宋体" w:hAnsi="宋体" w:cs="宋体"/>
          <w:color w:val="auto"/>
          <w:kern w:val="2"/>
          <w:sz w:val="21"/>
          <w:szCs w:val="21"/>
        </w:rPr>
        <w:t>是净额结算组合NS的违约风险暴露，计算方法与交易对手违约风险暴露计量规则一致，详见</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附件9。</w:t>
      </w:r>
    </w:p>
    <w:p>
      <w:pPr>
        <w:pStyle w:val="47"/>
        <w:ind w:firstLine="480" w:firstLineChars="200"/>
        <w:jc w:val="both"/>
        <w:rPr>
          <w:rFonts w:ascii="宋体" w:hAnsi="宋体" w:cs="宋体"/>
          <w:sz w:val="21"/>
          <w:szCs w:val="21"/>
        </w:rPr>
      </w:pPr>
      <w:r>
        <w:drawing>
          <wp:anchor distT="0" distB="0" distL="114300" distR="114300" simplePos="0" relativeHeight="251660288" behindDoc="1" locked="0" layoutInCell="1" allowOverlap="1">
            <wp:simplePos x="0" y="0"/>
            <wp:positionH relativeFrom="margin">
              <wp:align>center</wp:align>
            </wp:positionH>
            <wp:positionV relativeFrom="paragraph">
              <wp:posOffset>0</wp:posOffset>
            </wp:positionV>
            <wp:extent cx="628650" cy="365125"/>
            <wp:effectExtent l="0" t="0" r="0" b="0"/>
            <wp:wrapTight wrapText="bothSides">
              <wp:wrapPolygon>
                <wp:start x="0" y="0"/>
                <wp:lineTo x="0" y="20285"/>
                <wp:lineTo x="20945" y="20285"/>
                <wp:lineTo x="20945" y="0"/>
                <wp:lineTo x="0" y="0"/>
              </wp:wrapPolygon>
            </wp:wrapTight>
            <wp:docPr id="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8"/>
                    <pic:cNvPicPr>
                      <a:picLocks noChangeAspect="1"/>
                    </pic:cNvPicPr>
                  </pic:nvPicPr>
                  <pic:blipFill>
                    <a:blip r:embed="rId23"/>
                    <a:stretch>
                      <a:fillRect/>
                    </a:stretch>
                  </pic:blipFill>
                  <pic:spPr>
                    <a:xfrm>
                      <a:off x="0" y="0"/>
                      <a:ext cx="628650" cy="365125"/>
                    </a:xfrm>
                    <a:prstGeom prst="rect">
                      <a:avLst/>
                    </a:prstGeom>
                    <a:noFill/>
                    <a:ln>
                      <a:noFill/>
                    </a:ln>
                  </pic:spPr>
                </pic:pic>
              </a:graphicData>
            </a:graphic>
          </wp:anchor>
        </w:drawing>
      </w:r>
      <w:r>
        <w:rPr>
          <w:rFonts w:hint="eastAsia" w:ascii="宋体" w:hAnsi="宋体" w:cs="宋体"/>
          <w:position w:val="-14"/>
          <w:sz w:val="21"/>
          <w:szCs w:val="21"/>
        </w:rPr>
        <w:object>
          <v:shape id="_x0000_i1033" o:spt="75" type="#_x0000_t75" style="height:16.2pt;width:30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ascii="宋体" w:hAnsi="宋体" w:cs="宋体"/>
          <w:sz w:val="21"/>
          <w:szCs w:val="21"/>
        </w:rPr>
        <w:t>是监管折现因子, 公式为</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6"/>
          <w:sz w:val="21"/>
          <w:szCs w:val="21"/>
        </w:rPr>
        <w:object>
          <v:shape id="_x0000_i1034" o:spt="75" type="#_x0000_t75" style="height:12.6pt;width:13.8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宋体" w:hAnsi="宋体" w:cs="宋体"/>
          <w:color w:val="auto"/>
          <w:kern w:val="2"/>
          <w:sz w:val="21"/>
          <w:szCs w:val="21"/>
        </w:rPr>
        <w:t>=1.4。</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（3）</w:t>
      </w:r>
      <w:r>
        <w:rPr>
          <w:rFonts w:hint="eastAsia" w:ascii="宋体" w:hAnsi="宋体" w:cs="宋体"/>
          <w:sz w:val="21"/>
          <w:szCs w:val="21"/>
        </w:rPr>
        <w:t>风险权重</w:t>
      </w:r>
      <w:r>
        <w:rPr>
          <w:rFonts w:hint="eastAsia" w:ascii="宋体" w:hAnsi="宋体" w:cs="宋体"/>
          <w:position w:val="-12"/>
          <w:sz w:val="21"/>
          <w:szCs w:val="21"/>
        </w:rPr>
        <w:object>
          <v:shape id="_x0000_i1035" o:spt="75" type="#_x0000_t75" style="height:18.6pt;width:26.4pt;" o:ole="t" filled="f" o:preferrelative="t" stroked="f" coordsize="21600,21600">
            <v:path/>
            <v:fill on="f" focussize="0,0"/>
            <v:stroke on="f" joinstyle="miter"/>
            <v:imagedata r:id="rId16" o:title=""/>
            <o:lock v:ext="edit" aspectratio="t"/>
            <w10:wrap type="none"/>
            <w10:anchorlock/>
          </v:shape>
          <o:OLEObject Type="Embed" ProgID="Equation.DSMT4" ShapeID="_x0000_i1035" DrawAspect="Content" ObjectID="_1468075735" r:id="rId28">
            <o:LockedField>false</o:LockedField>
          </o:OLEObject>
        </w:object>
      </w:r>
      <w:r>
        <w:rPr>
          <w:rFonts w:hint="eastAsia" w:ascii="宋体" w:hAnsi="宋体" w:cs="宋体"/>
          <w:color w:val="auto"/>
          <w:kern w:val="2"/>
          <w:sz w:val="21"/>
          <w:szCs w:val="21"/>
        </w:rPr>
        <w:t>如下表。其中，投资级别应符合</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附件25标准，不满足投资级别标准的应认定为高收益级别。</w:t>
      </w:r>
    </w:p>
    <w:p>
      <w:pPr>
        <w:spacing w:line="480" w:lineRule="exact"/>
        <w:jc w:val="center"/>
        <w:rPr>
          <w:rFonts w:ascii="宋体" w:hAnsi="宋体" w:cs="宋体"/>
          <w:szCs w:val="21"/>
        </w:rPr>
      </w:pPr>
      <w:r>
        <w:rPr>
          <w:rFonts w:hint="eastAsia" w:ascii="宋体" w:hAnsi="宋体" w:cs="宋体"/>
          <w:b/>
          <w:szCs w:val="21"/>
        </w:rPr>
        <w:t>表1：风险权重</w:t>
      </w:r>
    </w:p>
    <w:tbl>
      <w:tblPr>
        <w:tblStyle w:val="21"/>
        <w:tblW w:w="0" w:type="auto"/>
        <w:tblInd w:w="-7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380"/>
        <w:gridCol w:w="2020"/>
        <w:gridCol w:w="182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44" w:hRule="exact"/>
        </w:trPr>
        <w:tc>
          <w:tcPr>
            <w:tcW w:w="5380" w:type="dxa"/>
            <w:vMerge w:val="restart"/>
            <w:vAlign w:val="center"/>
          </w:tcPr>
          <w:p>
            <w:pPr>
              <w:pStyle w:val="48"/>
              <w:spacing w:line="360" w:lineRule="auto"/>
              <w:jc w:val="center"/>
              <w:rPr>
                <w:rFonts w:ascii="宋体" w:hAnsi="宋体" w:cs="宋体"/>
                <w:b/>
                <w:kern w:val="2"/>
                <w:sz w:val="21"/>
                <w:szCs w:val="21"/>
              </w:rPr>
            </w:pPr>
            <w:r>
              <w:rPr>
                <w:rFonts w:hint="eastAsia" w:ascii="宋体" w:hAnsi="宋体" w:cs="宋体"/>
                <w:b/>
                <w:kern w:val="2"/>
                <w:sz w:val="21"/>
                <w:szCs w:val="21"/>
              </w:rPr>
              <w:t>交易对手行业</w:t>
            </w:r>
          </w:p>
        </w:tc>
        <w:tc>
          <w:tcPr>
            <w:tcW w:w="3842" w:type="dxa"/>
            <w:gridSpan w:val="2"/>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color w:val="auto"/>
                <w:kern w:val="2"/>
                <w:sz w:val="21"/>
                <w:szCs w:val="21"/>
              </w:rPr>
              <w:t>交易对手信用水平</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0" w:hRule="exact"/>
        </w:trPr>
        <w:tc>
          <w:tcPr>
            <w:tcW w:w="5380" w:type="dxa"/>
            <w:vMerge w:val="continue"/>
            <w:vAlign w:val="center"/>
          </w:tcPr>
          <w:p>
            <w:pPr>
              <w:pStyle w:val="48"/>
              <w:spacing w:line="360" w:lineRule="auto"/>
              <w:jc w:val="center"/>
              <w:rPr>
                <w:rFonts w:ascii="宋体" w:hAnsi="宋体" w:cs="宋体"/>
                <w:b/>
                <w:kern w:val="2"/>
                <w:sz w:val="21"/>
                <w:szCs w:val="21"/>
              </w:rPr>
            </w:pPr>
          </w:p>
        </w:tc>
        <w:tc>
          <w:tcPr>
            <w:tcW w:w="2020"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sz w:val="21"/>
                <w:szCs w:val="21"/>
              </w:rPr>
              <w:t>投资级别</w:t>
            </w:r>
          </w:p>
        </w:tc>
        <w:tc>
          <w:tcPr>
            <w:tcW w:w="1822"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sz w:val="21"/>
                <w:szCs w:val="21"/>
              </w:rPr>
              <w:t>高收益或未评级级别</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6"/>
              <w:jc w:val="both"/>
              <w:rPr>
                <w:rFonts w:ascii="宋体" w:hAnsi="宋体" w:cs="宋体"/>
                <w:bCs/>
                <w:kern w:val="2"/>
                <w:sz w:val="21"/>
                <w:szCs w:val="21"/>
                <w:lang w:eastAsia="zh-CN"/>
              </w:rPr>
            </w:pPr>
            <w:r>
              <w:rPr>
                <w:rFonts w:hint="eastAsia" w:ascii="宋体" w:hAnsi="宋体" w:cs="宋体"/>
                <w:bCs/>
                <w:kern w:val="2"/>
                <w:sz w:val="21"/>
                <w:szCs w:val="21"/>
                <w:lang w:eastAsia="zh-CN"/>
              </w:rPr>
              <w:t>政府主权, 包括中央银行、多边开发银行、我国的开发性金融机构和政策性银行</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0.5%</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地方政府、公共部门实体、教育机构</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4.0%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金融机构</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基础资源、能源、工业、农业、制造业、矿产和开采领域</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3.0%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7.0%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消费品和服务, 交通运输和仓储, 公共管理及其支持性服务</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3.0%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8.5%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信息科技, 通信行业</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2.0%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健康医疗, 公共服务, 专业技术领域</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1.5%</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其他</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12.0%</w:t>
            </w:r>
          </w:p>
        </w:tc>
      </w:tr>
    </w:tbl>
    <w:p>
      <w:pPr>
        <w:spacing w:line="440" w:lineRule="exact"/>
        <w:ind w:firstLine="420" w:firstLineChars="200"/>
        <w:rPr>
          <w:rFonts w:ascii="宋体" w:hAnsi="宋体" w:cs="宋体"/>
          <w:szCs w:val="21"/>
        </w:rPr>
      </w:pPr>
      <w:r>
        <w:rPr>
          <w:rFonts w:hint="eastAsia" w:ascii="宋体" w:hAnsi="宋体" w:cs="宋体"/>
          <w:szCs w:val="21"/>
        </w:rPr>
        <w:t>对于经国家金融监督管理总局或其派出机构验收通过实施信用风险内部评级法的银行，若无法取得交易对手的合格外部评级，可将内部评级映射到外部评级。</w:t>
      </w:r>
      <w:r>
        <w:rPr>
          <w:rFonts w:hint="eastAsia" w:ascii="宋体" w:hAnsi="宋体"/>
          <w:color w:val="0D0D0D" w:themeColor="text1" w:themeTint="F2"/>
          <w:szCs w:val="21"/>
          <w14:textFill>
            <w14:solidFill>
              <w14:schemeClr w14:val="tx1">
                <w14:lumMod w14:val="95000"/>
                <w14:lumOff w14:val="5000"/>
              </w14:schemeClr>
            </w14:solidFill>
          </w14:textFill>
        </w:rPr>
        <w:t>填报机构应制定清晰的评级映射规则，至少每年检验一次映射规则的合理性，并留档备查。</w:t>
      </w:r>
    </w:p>
    <w:p>
      <w:pPr>
        <w:spacing w:line="440" w:lineRule="exact"/>
        <w:ind w:firstLine="420" w:firstLineChars="200"/>
        <w:rPr>
          <w:rFonts w:ascii="宋体" w:hAnsi="宋体" w:cs="宋体"/>
          <w:szCs w:val="21"/>
        </w:rPr>
      </w:pPr>
      <w:r>
        <w:rPr>
          <w:rFonts w:hint="eastAsia" w:ascii="宋体" w:hAnsi="宋体" w:cs="宋体"/>
          <w:szCs w:val="21"/>
        </w:rPr>
        <w:t>单个保证金协议下多个净额结算组合情形的</w:t>
      </w:r>
      <w:r>
        <w:rPr>
          <w:rFonts w:hint="eastAsia" w:ascii="宋体" w:hAnsi="宋体" w:cs="宋体"/>
          <w:position w:val="-12"/>
          <w:szCs w:val="21"/>
        </w:rPr>
        <w:object>
          <v:shape id="_x0000_i1036" o:spt="75" type="#_x0000_t75" style="height:16.8pt;width:34.2pt;" o:ole="t" filled="f" o:preferrelative="t" stroked="f" coordsize="21600,21600">
            <v:path/>
            <v:fill on="f" focussize="0,0"/>
            <v:stroke on="f" joinstyle="miter"/>
            <v:imagedata r:id="rId7" o:title=""/>
            <o:lock v:ext="edit" aspectratio="t"/>
            <w10:wrap type="none"/>
            <w10:anchorlock/>
          </v:shape>
          <o:OLEObject Type="Embed" ProgID="Equation.DSMT4" ShapeID="_x0000_i1036" DrawAspect="Content" ObjectID="_1468075736" r:id="rId29">
            <o:LockedField>false</o:LockedField>
          </o:OLEObject>
        </w:object>
      </w:r>
      <w:r>
        <w:rPr>
          <w:rFonts w:hint="eastAsia" w:ascii="宋体" w:hAnsi="宋体" w:cs="宋体"/>
          <w:szCs w:val="21"/>
        </w:rPr>
        <w:t>的计算规则：当单个保证金协议下有多个净额结算组合时，仅得到保证金协议的</w:t>
      </w:r>
      <w:r>
        <w:rPr>
          <w:rFonts w:ascii="宋体" w:hAnsi="宋体" w:cs="宋体"/>
          <w:szCs w:val="21"/>
        </w:rPr>
        <w:t>EAD总数，并未再分配至每个净额结算交易对手</w:t>
      </w:r>
      <m:oMath>
        <m:r>
          <m:rPr/>
          <w:rPr>
            <w:rFonts w:ascii="Cambria Math"/>
          </w:rPr>
          <m:t>EA</m:t>
        </m:r>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NS</m:t>
            </m:r>
            <m:ctrlPr>
              <w:rPr>
                <w:rFonts w:ascii="Cambria Math" w:hAnsi="Cambria Math"/>
                <w:i/>
              </w:rPr>
            </m:ctrlPr>
          </m:sub>
        </m:sSub>
      </m:oMath>
      <w:r>
        <w:rPr>
          <w:rFonts w:hint="eastAsia" w:ascii="宋体" w:hAnsi="宋体" w:cs="宋体"/>
          <w:szCs w:val="21"/>
        </w:rPr>
        <w:t>。此种情形下，</w:t>
      </w:r>
      <w:r>
        <w:rPr>
          <w:rFonts w:hint="eastAsia" w:ascii="宋体" w:hAnsi="宋体" w:cs="宋体"/>
          <w:position w:val="-12"/>
          <w:szCs w:val="21"/>
        </w:rPr>
        <w:object>
          <v:shape id="_x0000_i1037" o:spt="75" type="#_x0000_t75" style="height:16.8pt;width:34.2pt;" o:ole="t" filled="f" o:preferrelative="t" stroked="f" coordsize="21600,21600">
            <v:path/>
            <v:fill on="f" focussize="0,0"/>
            <v:stroke on="f" joinstyle="miter"/>
            <v:imagedata r:id="rId7" o:title=""/>
            <o:lock v:ext="edit" aspectratio="t"/>
            <w10:wrap type="none"/>
            <w10:anchorlock/>
          </v:shape>
          <o:OLEObject Type="Embed" ProgID="Equation.DSMT4" ShapeID="_x0000_i1037" DrawAspect="Content" ObjectID="_1468075737" r:id="rId30">
            <o:LockedField>false</o:LockedField>
          </o:OLEObject>
        </w:object>
      </w:r>
      <w:r>
        <w:rPr>
          <w:rFonts w:hint="eastAsia" w:ascii="宋体" w:hAnsi="宋体" w:cs="宋体"/>
          <w:szCs w:val="21"/>
        </w:rPr>
        <w:t>计算规则为：</w:t>
      </w:r>
    </w:p>
    <w:p>
      <w:pPr>
        <w:spacing w:line="440" w:lineRule="exact"/>
        <w:rPr>
          <w:rFonts w:ascii="宋体" w:hAnsi="宋体" w:cs="宋体"/>
          <w:szCs w:val="21"/>
        </w:rPr>
      </w:pPr>
      <w:r>
        <w:drawing>
          <wp:anchor distT="0" distB="0" distL="114300" distR="114300" simplePos="0" relativeHeight="251661312" behindDoc="0" locked="0" layoutInCell="1" allowOverlap="1">
            <wp:simplePos x="0" y="0"/>
            <wp:positionH relativeFrom="column">
              <wp:posOffset>908050</wp:posOffset>
            </wp:positionH>
            <wp:positionV relativeFrom="paragraph">
              <wp:posOffset>24130</wp:posOffset>
            </wp:positionV>
            <wp:extent cx="3463290" cy="372745"/>
            <wp:effectExtent l="0" t="0" r="3810" b="8255"/>
            <wp:wrapTopAndBottom/>
            <wp:docPr id="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9"/>
                    <pic:cNvPicPr>
                      <a:picLocks noChangeAspect="1"/>
                    </pic:cNvPicPr>
                  </pic:nvPicPr>
                  <pic:blipFill>
                    <a:blip r:embed="rId31"/>
                    <a:stretch>
                      <a:fillRect/>
                    </a:stretch>
                  </pic:blipFill>
                  <pic:spPr>
                    <a:xfrm>
                      <a:off x="0" y="0"/>
                      <a:ext cx="3463290" cy="372745"/>
                    </a:xfrm>
                    <a:prstGeom prst="rect">
                      <a:avLst/>
                    </a:prstGeom>
                    <a:noFill/>
                    <a:ln>
                      <a:noFill/>
                    </a:ln>
                  </pic:spPr>
                </pic:pic>
              </a:graphicData>
            </a:graphic>
          </wp:anchor>
        </w:drawing>
      </w:r>
      <w:r>
        <w:rPr>
          <w:rFonts w:hint="eastAsia" w:ascii="宋体" w:hAnsi="宋体" w:cs="宋体"/>
          <w:position w:val="-14"/>
          <w:szCs w:val="21"/>
        </w:rPr>
        <w:object>
          <v:shape id="_x0000_i1038" o:spt="75" type="#_x0000_t75" style="height:16.2pt;width:26.4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宋体" w:hAnsi="宋体" w:cs="宋体"/>
          <w:szCs w:val="21"/>
        </w:rPr>
        <w:t>是保证金协议M</w:t>
      </w:r>
      <w:r>
        <w:rPr>
          <w:rFonts w:ascii="宋体" w:hAnsi="宋体" w:cs="宋体"/>
          <w:szCs w:val="21"/>
        </w:rPr>
        <w:t>A</w:t>
      </w:r>
      <w:r>
        <w:rPr>
          <w:rFonts w:hint="eastAsia" w:ascii="宋体" w:hAnsi="宋体" w:cs="宋体"/>
          <w:szCs w:val="21"/>
        </w:rPr>
        <w:t>的有效期限，详见</w:t>
      </w:r>
      <w:r>
        <w:rPr>
          <w:rFonts w:hint="eastAsia"/>
          <w:bCs/>
          <w:szCs w:val="21"/>
        </w:rPr>
        <w:t>《办法》</w:t>
      </w:r>
      <w:r>
        <w:rPr>
          <w:rFonts w:hint="eastAsia" w:ascii="宋体" w:hAnsi="宋体" w:cs="宋体"/>
          <w:szCs w:val="21"/>
        </w:rPr>
        <w:t>附件5第六部分（六），且</w:t>
      </w:r>
      <w:r>
        <w:rPr>
          <w:rFonts w:hint="eastAsia" w:ascii="宋体" w:hAnsi="宋体" w:cs="宋体"/>
          <w:position w:val="-14"/>
          <w:szCs w:val="21"/>
        </w:rPr>
        <w:object>
          <v:shape id="_x0000_i1039" o:spt="75" type="#_x0000_t75" style="height:16.2pt;width:27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宋体" w:hAnsi="宋体" w:cs="宋体"/>
          <w:szCs w:val="21"/>
        </w:rPr>
        <w:t>不受上限（5年）和下限（1年）的限制。</w:t>
      </w:r>
    </w:p>
    <w:p>
      <w:pPr>
        <w:pStyle w:val="47"/>
        <w:spacing w:line="44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40" o:spt="75" type="#_x0000_t75" style="height:15.6pt;width:37.8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宋体" w:hAnsi="宋体" w:cs="宋体"/>
          <w:color w:val="auto"/>
          <w:kern w:val="2"/>
          <w:sz w:val="21"/>
          <w:szCs w:val="21"/>
        </w:rPr>
        <w:t>是保证金协议M</w:t>
      </w:r>
      <w:r>
        <w:rPr>
          <w:rFonts w:ascii="宋体" w:hAnsi="宋体" w:cs="宋体"/>
          <w:color w:val="auto"/>
          <w:kern w:val="2"/>
          <w:sz w:val="21"/>
          <w:szCs w:val="21"/>
        </w:rPr>
        <w:t>A</w:t>
      </w:r>
      <w:r>
        <w:rPr>
          <w:rFonts w:hint="eastAsia" w:ascii="宋体" w:hAnsi="宋体" w:cs="宋体"/>
          <w:color w:val="auto"/>
          <w:kern w:val="2"/>
          <w:sz w:val="21"/>
          <w:szCs w:val="21"/>
        </w:rPr>
        <w:t>的违约风险暴露，计算方法与交易对手违约风险暴露计量规则一致，详见</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附件9。</w:t>
      </w:r>
    </w:p>
    <w:p>
      <w:pPr>
        <w:pStyle w:val="47"/>
        <w:ind w:firstLine="420" w:firstLineChars="200"/>
        <w:jc w:val="both"/>
        <w:rPr>
          <w:rFonts w:ascii="宋体" w:hAnsi="宋体" w:cs="宋体"/>
          <w:sz w:val="21"/>
          <w:szCs w:val="21"/>
        </w:rPr>
      </w:pPr>
      <w:r>
        <w:rPr>
          <w:rFonts w:hint="eastAsia" w:ascii="宋体" w:hAnsi="宋体" w:cs="宋体"/>
          <w:position w:val="-14"/>
          <w:sz w:val="21"/>
          <w:szCs w:val="21"/>
        </w:rPr>
        <w:object>
          <v:shape id="_x0000_i1041" o:spt="75" type="#_x0000_t75" style="height:16.2pt;width:30.6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宋体" w:hAnsi="宋体" w:cs="宋体"/>
          <w:sz w:val="21"/>
          <w:szCs w:val="21"/>
        </w:rPr>
        <w:t>是监管折现因子, 公式为</w:t>
      </w:r>
      <w:r>
        <w:drawing>
          <wp:inline distT="0" distB="0" distL="114300" distR="114300">
            <wp:extent cx="668020" cy="379730"/>
            <wp:effectExtent l="0" t="0" r="17780" b="1270"/>
            <wp:docPr id="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0"/>
                    <pic:cNvPicPr>
                      <a:picLocks noChangeAspect="1"/>
                    </pic:cNvPicPr>
                  </pic:nvPicPr>
                  <pic:blipFill>
                    <a:blip r:embed="rId40"/>
                    <a:stretch>
                      <a:fillRect/>
                    </a:stretch>
                  </pic:blipFill>
                  <pic:spPr>
                    <a:xfrm>
                      <a:off x="0" y="0"/>
                      <a:ext cx="668020" cy="379730"/>
                    </a:xfrm>
                    <a:prstGeom prst="rect">
                      <a:avLst/>
                    </a:prstGeom>
                    <a:noFill/>
                    <a:ln>
                      <a:noFill/>
                    </a:ln>
                  </pic:spPr>
                </pic:pic>
              </a:graphicData>
            </a:graphic>
          </wp:inline>
        </w:drawing>
      </w:r>
    </w:p>
    <w:p>
      <w:pPr>
        <w:pStyle w:val="47"/>
        <w:spacing w:line="440" w:lineRule="exact"/>
        <w:ind w:firstLine="420" w:firstLineChars="200"/>
        <w:jc w:val="both"/>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 信用估值调整</w:t>
      </w:r>
      <w:r>
        <w:rPr>
          <w:rFonts w:hint="eastAsia" w:ascii="Times New Roman" w:hAnsi="Times New Roman" w:cs="Times New Roman"/>
          <w:color w:val="auto"/>
          <w:kern w:val="2"/>
          <w:sz w:val="21"/>
          <w:szCs w:val="21"/>
        </w:rPr>
        <w:t>完整版</w:t>
      </w:r>
      <w:r>
        <w:rPr>
          <w:rFonts w:ascii="Times New Roman" w:hAnsi="Times New Roman" w:cs="Times New Roman"/>
          <w:color w:val="auto"/>
          <w:kern w:val="2"/>
          <w:sz w:val="21"/>
          <w:szCs w:val="21"/>
        </w:rPr>
        <w:t>风险加权资产的计算公式</w:t>
      </w:r>
    </w:p>
    <w:p>
      <w:pPr>
        <w:spacing w:line="440" w:lineRule="exact"/>
        <w:ind w:firstLine="420" w:firstLineChars="200"/>
        <w:rPr>
          <w:rFonts w:ascii="宋体" w:hAnsi="宋体" w:cs="宋体"/>
          <w:szCs w:val="21"/>
        </w:rPr>
      </w:pPr>
      <w:r>
        <w:rPr>
          <w:rFonts w:hint="eastAsia" w:ascii="宋体" w:hAnsi="宋体" w:cs="宋体"/>
          <w:szCs w:val="21"/>
        </w:rPr>
        <w:t>[2.完整版]：</w:t>
      </w:r>
      <w:r>
        <w:rPr>
          <w:rFonts w:hint="eastAsia"/>
          <w:bCs/>
          <w:szCs w:val="21"/>
        </w:rPr>
        <w:t>存在信用估值调整风险合格对冲的填报机构可适用完整版。</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（1）</w:t>
      </w:r>
      <w:r>
        <w:rPr>
          <w:rFonts w:hint="eastAsia" w:ascii="Times New Roman" w:hAnsi="Times New Roman" w:cs="Times New Roman"/>
          <w:bCs/>
          <w:color w:val="auto"/>
          <w:kern w:val="2"/>
          <w:sz w:val="21"/>
          <w:szCs w:val="21"/>
        </w:rPr>
        <w:t>填报机构</w:t>
      </w:r>
      <w:r>
        <w:rPr>
          <w:rFonts w:hint="eastAsia" w:ascii="宋体" w:hAnsi="宋体" w:cs="宋体"/>
          <w:color w:val="auto"/>
          <w:kern w:val="2"/>
          <w:sz w:val="21"/>
          <w:szCs w:val="21"/>
        </w:rPr>
        <w:t>应采用以下公式计算信用估值调整风险加权资产：</w:t>
      </w:r>
    </w:p>
    <w:p>
      <w:pPr>
        <w:pStyle w:val="47"/>
        <w:spacing w:line="480" w:lineRule="exact"/>
        <w:ind w:firstLine="480" w:firstLineChars="200"/>
        <w:jc w:val="center"/>
        <w:rPr>
          <w:rFonts w:ascii="Times New Roman" w:hAnsi="Times New Roman" w:cs="Times New Roman"/>
          <w:i/>
        </w:rPr>
      </w:pPr>
      <m:oMathPara>
        <m:oMath>
          <m:r>
            <m:rPr/>
            <w:rPr>
              <w:rFonts w:ascii="Cambria Math" w:hAnsi="Cambria Math" w:cs="Times New Roman"/>
            </w:rPr>
            <m:t>CVA</m:t>
          </m:r>
          <m:r>
            <m:rPr>
              <m:sty m:val="p"/>
            </m:rPr>
            <w:rPr>
              <w:rFonts w:ascii="Cambria Math" w:hAnsi="Cambria Math" w:cs="Times New Roman"/>
            </w:rPr>
            <m:t>风险加权资产</m:t>
          </m:r>
          <m:r>
            <m:rPr/>
            <w:rPr>
              <w:rFonts w:ascii="Cambria Math" w:hAnsi="Cambria Math" w:cs="Times New Roman"/>
            </w:rPr>
            <m:t>=12.5×0.65×</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full</m:t>
              </m:r>
              <m:ctrlPr>
                <w:rPr>
                  <w:rFonts w:ascii="Cambria Math" w:hAnsi="Cambria Math" w:cs="Times New Roman"/>
                  <w:i/>
                </w:rPr>
              </m:ctrlPr>
            </m:sub>
          </m:sSub>
        </m:oMath>
      </m:oMathPara>
    </w:p>
    <w:p>
      <w:pPr>
        <w:pStyle w:val="47"/>
        <w:ind w:firstLine="420" w:firstLineChars="200"/>
        <w:jc w:val="center"/>
        <w:rPr>
          <w:rFonts w:ascii="宋体" w:hAnsi="宋体" w:cs="宋体"/>
          <w:color w:val="auto"/>
          <w:kern w:val="2"/>
          <w:sz w:val="21"/>
          <w:szCs w:val="21"/>
        </w:rPr>
      </w:pPr>
      <w:r>
        <w:rPr>
          <w:rFonts w:hint="eastAsia" w:ascii="宋体" w:hAnsi="宋体" w:cs="宋体"/>
          <w:position w:val="-18"/>
          <w:sz w:val="21"/>
          <w:szCs w:val="21"/>
        </w:rPr>
        <w:object>
          <v:shape id="_x0000_i1042" o:spt="75" type="#_x0000_t75" style="height:22.2pt;width:177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hint="eastAsia" w:ascii="宋体" w:hAnsi="宋体" w:cs="宋体"/>
          <w:color w:val="auto"/>
          <w:kern w:val="2"/>
          <w:sz w:val="21"/>
          <w:szCs w:val="21"/>
        </w:rPr>
        <w:t xml:space="preserve"> </w:t>
      </w:r>
    </w:p>
    <w:p>
      <w:pPr>
        <w:spacing w:line="440" w:lineRule="exact"/>
        <w:ind w:firstLine="420" w:firstLineChars="200"/>
        <w:rPr>
          <w:rFonts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043" o:spt="75" type="#_x0000_t75" style="height:18.6pt;width:40.8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hint="eastAsia" w:ascii="宋体" w:hAnsi="宋体" w:cs="宋体"/>
          <w:szCs w:val="21"/>
        </w:rPr>
        <w:t>为简化版风险资本要求，计算方式详见</w:t>
      </w:r>
      <w:r>
        <w:rPr>
          <w:rFonts w:ascii="宋体" w:hAnsi="宋体" w:cs="宋体"/>
          <w:szCs w:val="21"/>
        </w:rPr>
        <w:t>[1.</w:t>
      </w:r>
      <w:r>
        <w:rPr>
          <w:rFonts w:hint="eastAsia" w:ascii="宋体" w:hAnsi="宋体" w:cs="宋体"/>
          <w:szCs w:val="21"/>
        </w:rPr>
        <w:t>简化版</w:t>
      </w:r>
      <w:r>
        <w:rPr>
          <w:rFonts w:ascii="宋体" w:hAnsi="宋体" w:cs="宋体"/>
          <w:szCs w:val="21"/>
        </w:rPr>
        <w:t>]</w:t>
      </w:r>
      <w:r>
        <w:rPr>
          <w:rFonts w:hint="eastAsia" w:ascii="宋体" w:hAnsi="宋体" w:cs="宋体"/>
          <w:szCs w:val="21"/>
        </w:rPr>
        <w:t>风险加权资产的计量。</w:t>
      </w:r>
    </w:p>
    <w:p>
      <w:pPr>
        <w:ind w:firstLine="420" w:firstLineChars="200"/>
        <w:rPr>
          <w:rFonts w:ascii="宋体" w:hAnsi="宋体" w:cs="宋体"/>
          <w:szCs w:val="21"/>
        </w:rPr>
      </w:pPr>
      <w:r>
        <w:rPr>
          <w:rFonts w:hint="eastAsia" w:ascii="宋体" w:hAnsi="宋体" w:cs="宋体"/>
          <w:szCs w:val="21"/>
        </w:rPr>
        <w:t>（2）认可合格对冲的部分(</w:t>
      </w:r>
      <w:bookmarkStart w:id="0" w:name="OLE_LINK4"/>
      <w:r>
        <w:rPr>
          <w:rFonts w:hint="eastAsia" w:ascii="宋体" w:hAnsi="宋体" w:cs="宋体"/>
          <w:position w:val="-18"/>
          <w:szCs w:val="21"/>
        </w:rPr>
        <w:object>
          <v:shape id="_x0000_i1044" o:spt="75" type="#_x0000_t75" style="height:18.6pt;width:38.4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bookmarkEnd w:id="0"/>
      <w:r>
        <w:rPr>
          <w:rFonts w:hint="eastAsia" w:ascii="宋体" w:hAnsi="宋体" w:cs="宋体"/>
          <w:szCs w:val="21"/>
        </w:rPr>
        <w:t>)计算公式如下：</w:t>
      </w:r>
    </w:p>
    <w:p>
      <w:pPr>
        <w:jc w:val="center"/>
        <w:rPr>
          <w:rFonts w:ascii="宋体" w:hAnsi="宋体" w:cs="宋体"/>
          <w:szCs w:val="21"/>
        </w:rPr>
      </w:pPr>
      <w:r>
        <w:drawing>
          <wp:inline distT="0" distB="0" distL="114300" distR="114300">
            <wp:extent cx="5273040" cy="661670"/>
            <wp:effectExtent l="0" t="0" r="3810" b="5080"/>
            <wp:docPr id="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1"/>
                    <pic:cNvPicPr>
                      <a:picLocks noChangeAspect="1"/>
                    </pic:cNvPicPr>
                  </pic:nvPicPr>
                  <pic:blipFill>
                    <a:blip r:embed="rId47"/>
                    <a:stretch>
                      <a:fillRect/>
                    </a:stretch>
                  </pic:blipFill>
                  <pic:spPr>
                    <a:xfrm>
                      <a:off x="0" y="0"/>
                      <a:ext cx="5273040" cy="661670"/>
                    </a:xfrm>
                    <a:prstGeom prst="rect">
                      <a:avLst/>
                    </a:prstGeom>
                    <a:noFill/>
                    <a:ln>
                      <a:noFill/>
                    </a:ln>
                  </pic:spPr>
                </pic:pic>
              </a:graphicData>
            </a:graphic>
          </wp:inline>
        </w:drawing>
      </w:r>
    </w:p>
    <w:p>
      <w:pPr>
        <w:pStyle w:val="47"/>
        <w:spacing w:line="440" w:lineRule="exact"/>
        <w:ind w:firstLine="420" w:firstLineChars="200"/>
        <w:rPr>
          <w:rFonts w:ascii="宋体" w:hAnsi="宋体" w:cs="宋体"/>
          <w:color w:val="auto"/>
          <w:kern w:val="2"/>
          <w:sz w:val="21"/>
          <w:szCs w:val="21"/>
        </w:rPr>
      </w:pPr>
      <w:r>
        <w:rPr>
          <w:rFonts w:hint="eastAsia" w:ascii="宋体" w:hAnsi="宋体" w:cs="宋体"/>
          <w:color w:val="auto"/>
          <w:kern w:val="2"/>
          <w:sz w:val="21"/>
          <w:szCs w:val="21"/>
        </w:rPr>
        <w:t>其中：</w:t>
      </w:r>
      <w:r>
        <w:rPr>
          <w:rFonts w:hint="eastAsia" w:ascii="宋体" w:hAnsi="宋体" w:cs="宋体"/>
          <w:position w:val="-12"/>
          <w:sz w:val="21"/>
          <w:szCs w:val="21"/>
        </w:rPr>
        <w:object>
          <v:shape id="_x0000_i1045" o:spt="75" type="#_x0000_t75" style="height:15.6pt;width:37.2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宋体" w:hAnsi="宋体" w:cs="宋体"/>
          <w:color w:val="auto"/>
          <w:kern w:val="2"/>
          <w:sz w:val="21"/>
          <w:szCs w:val="21"/>
        </w:rPr>
        <w:t>是单独考虑交易对手c的信用估值调整资本要求，公式详见</w:t>
      </w:r>
      <w:r>
        <w:rPr>
          <w:rFonts w:ascii="宋体" w:hAnsi="宋体" w:cs="宋体"/>
          <w:color w:val="auto"/>
          <w:kern w:val="2"/>
          <w:sz w:val="21"/>
          <w:szCs w:val="21"/>
        </w:rPr>
        <w:t>[1.</w:t>
      </w:r>
      <w:r>
        <w:rPr>
          <w:rFonts w:hint="eastAsia" w:ascii="宋体" w:hAnsi="宋体" w:cs="宋体"/>
          <w:color w:val="auto"/>
          <w:kern w:val="2"/>
          <w:sz w:val="21"/>
          <w:szCs w:val="21"/>
        </w:rPr>
        <w:t>简化版</w:t>
      </w:r>
      <w:r>
        <w:rPr>
          <w:rFonts w:ascii="宋体" w:hAnsi="宋体" w:cs="宋体"/>
          <w:color w:val="auto"/>
          <w:kern w:val="2"/>
          <w:sz w:val="21"/>
          <w:szCs w:val="21"/>
        </w:rPr>
        <w:t>]</w:t>
      </w:r>
      <w:r>
        <w:rPr>
          <w:rFonts w:hint="eastAsia" w:ascii="宋体" w:hAnsi="宋体" w:cs="宋体"/>
          <w:color w:val="auto"/>
          <w:kern w:val="2"/>
          <w:sz w:val="21"/>
          <w:szCs w:val="21"/>
        </w:rPr>
        <w:t>。</w:t>
      </w:r>
    </w:p>
    <w:p>
      <w:pPr>
        <w:pStyle w:val="47"/>
        <w:spacing w:line="48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46" o:spt="75" type="#_x0000_t75" style="height:16.2pt;width:13.8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int="eastAsia" w:ascii="宋体" w:hAnsi="宋体" w:cs="宋体"/>
          <w:color w:val="auto"/>
          <w:kern w:val="2"/>
          <w:sz w:val="21"/>
          <w:szCs w:val="21"/>
        </w:rPr>
        <w:t>=0.5。</w:t>
      </w:r>
    </w:p>
    <w:p>
      <w:pPr>
        <w:spacing w:line="440" w:lineRule="exact"/>
        <w:ind w:firstLine="420" w:firstLineChars="200"/>
        <w:rPr>
          <w:rFonts w:ascii="宋体" w:hAnsi="宋体" w:cs="宋体"/>
          <w:szCs w:val="21"/>
        </w:rPr>
      </w:pPr>
      <w:r>
        <w:rPr>
          <w:rFonts w:hint="eastAsia" w:ascii="宋体" w:hAnsi="宋体" w:cs="宋体"/>
          <w:szCs w:val="21"/>
        </w:rPr>
        <w:t>（3）</w:t>
      </w:r>
      <w:r>
        <w:rPr>
          <w:rFonts w:hint="eastAsia" w:ascii="宋体" w:hAnsi="宋体" w:cs="宋体"/>
          <w:position w:val="-12"/>
          <w:szCs w:val="21"/>
        </w:rPr>
        <w:object>
          <v:shape id="_x0000_i1047" o:spt="75" type="#_x0000_t75" style="height:18.6pt;width:34.2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int="eastAsia" w:ascii="宋体" w:hAnsi="宋体" w:cs="宋体"/>
          <w:szCs w:val="21"/>
        </w:rPr>
        <w:t>表示因银行使用信用利差风险的单名对冲工具，导致交易对手c的CVA风险降低，计算公式如下：</w:t>
      </w:r>
    </w:p>
    <w:p>
      <w:pPr>
        <w:ind w:firstLine="420" w:firstLineChars="200"/>
        <w:jc w:val="center"/>
        <w:rPr>
          <w:rFonts w:ascii="宋体" w:hAnsi="宋体" w:cs="宋体"/>
          <w:szCs w:val="21"/>
        </w:rPr>
      </w:pPr>
      <w:r>
        <w:drawing>
          <wp:inline distT="0" distB="0" distL="114300" distR="114300">
            <wp:extent cx="2334260" cy="394335"/>
            <wp:effectExtent l="0" t="0" r="8890" b="5715"/>
            <wp:docPr id="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2"/>
                    <pic:cNvPicPr>
                      <a:picLocks noChangeAspect="1"/>
                    </pic:cNvPicPr>
                  </pic:nvPicPr>
                  <pic:blipFill>
                    <a:blip r:embed="rId54"/>
                    <a:stretch>
                      <a:fillRect/>
                    </a:stretch>
                  </pic:blipFill>
                  <pic:spPr>
                    <a:xfrm>
                      <a:off x="0" y="0"/>
                      <a:ext cx="2334260" cy="39433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w:t>
      </w:r>
    </w:p>
    <w:p>
      <w:pPr>
        <w:spacing w:line="440" w:lineRule="exact"/>
        <w:ind w:firstLine="420" w:firstLineChars="200"/>
        <w:rPr>
          <w:rFonts w:ascii="宋体" w:hAnsi="宋体" w:cs="宋体"/>
          <w:szCs w:val="21"/>
        </w:rPr>
      </w:pPr>
      <w:r>
        <w:rPr>
          <w:rFonts w:hint="eastAsia" w:ascii="宋体" w:hAnsi="宋体" w:cs="宋体"/>
          <w:szCs w:val="21"/>
        </w:rPr>
        <w:object>
          <v:shape id="_x0000_i1048" o:spt="75" type="#_x0000_t75" style="height:19.8pt;width:22.8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r>
        <w:rPr>
          <w:rFonts w:hint="eastAsia" w:ascii="宋体" w:hAnsi="宋体" w:cs="宋体"/>
          <w:szCs w:val="21"/>
        </w:rPr>
        <w:t>表示交易对手c的信用利差与单名信用违约互换套期工具h的信用利差之间的相关系数，详见表</w:t>
      </w:r>
      <w:r>
        <w:rPr>
          <w:rFonts w:ascii="宋体" w:hAnsi="宋体" w:cs="宋体"/>
          <w:szCs w:val="21"/>
        </w:rPr>
        <w:t>2</w:t>
      </w:r>
      <w:r>
        <w:rPr>
          <w:rFonts w:hint="eastAsia" w:ascii="宋体" w:hAnsi="宋体" w:cs="宋体"/>
          <w:szCs w:val="21"/>
        </w:rPr>
        <w:t>。</w:t>
      </w:r>
    </w:p>
    <w:p>
      <w:pPr>
        <w:spacing w:line="440" w:lineRule="exact"/>
        <w:ind w:firstLine="420" w:firstLineChars="200"/>
        <w:rPr>
          <w:rFonts w:ascii="宋体" w:hAnsi="宋体" w:cs="宋体"/>
          <w:szCs w:val="21"/>
        </w:rPr>
      </w:pPr>
      <w:r>
        <w:rPr>
          <w:rFonts w:hint="eastAsia" w:ascii="宋体" w:hAnsi="宋体" w:cs="宋体"/>
          <w:szCs w:val="21"/>
        </w:rPr>
        <w:object>
          <v:shape id="_x0000_i1049" o:spt="75" type="#_x0000_t75" style="height:18.6pt;width:27.6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r>
        <w:rPr>
          <w:rFonts w:hint="eastAsia" w:ascii="宋体" w:hAnsi="宋体" w:cs="宋体"/>
          <w:szCs w:val="21"/>
        </w:rPr>
        <w:t>是单名信用违约互换套期工具h的剩余期限。</w:t>
      </w:r>
    </w:p>
    <w:p>
      <w:pPr>
        <w:spacing w:line="440" w:lineRule="exact"/>
        <w:ind w:firstLine="420" w:firstLineChars="200"/>
        <w:rPr>
          <w:rFonts w:ascii="宋体" w:hAnsi="宋体" w:cs="宋体"/>
          <w:szCs w:val="21"/>
        </w:rPr>
      </w:pPr>
      <w:r>
        <w:rPr>
          <w:rFonts w:hint="eastAsia" w:ascii="宋体" w:hAnsi="宋体" w:cs="宋体"/>
          <w:szCs w:val="21"/>
        </w:rPr>
        <w:object>
          <v:shape id="_x0000_i1050" o:spt="75" type="#_x0000_t75" style="height:18.6pt;width:23.4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r>
        <w:rPr>
          <w:rFonts w:hint="eastAsia" w:ascii="宋体" w:hAnsi="宋体" w:cs="宋体"/>
          <w:szCs w:val="21"/>
        </w:rPr>
        <w:t>是单名信用违约互换套期工具h的名义本金。对于单名或有信用违约互换, 名义金额根据参考资产组合或工具的当前市场价值确定。</w:t>
      </w:r>
    </w:p>
    <w:p>
      <w:pPr>
        <w:ind w:firstLine="420" w:firstLineChars="200"/>
        <w:rPr>
          <w:rFonts w:ascii="宋体" w:hAnsi="宋体" w:cs="宋体"/>
          <w:szCs w:val="21"/>
        </w:rPr>
      </w:pPr>
      <w:r>
        <w:rPr>
          <w:rFonts w:hint="eastAsia" w:ascii="宋体" w:hAnsi="宋体" w:cs="宋体"/>
          <w:szCs w:val="21"/>
        </w:rPr>
        <w:object>
          <v:shape id="_x0000_i1051" o:spt="75" type="#_x0000_t75" style="height:18.6pt;width:33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rFonts w:hint="eastAsia" w:ascii="宋体" w:hAnsi="宋体" w:cs="宋体"/>
          <w:szCs w:val="21"/>
        </w:rPr>
        <w:t>是监管折现因子, 公式为</w:t>
      </w:r>
      <w:r>
        <w:drawing>
          <wp:inline distT="0" distB="0" distL="114300" distR="114300">
            <wp:extent cx="632460" cy="415290"/>
            <wp:effectExtent l="0" t="0" r="15240" b="3810"/>
            <wp:docPr id="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3"/>
                    <pic:cNvPicPr>
                      <a:picLocks noChangeAspect="1"/>
                    </pic:cNvPicPr>
                  </pic:nvPicPr>
                  <pic:blipFill>
                    <a:blip r:embed="rId63"/>
                    <a:stretch>
                      <a:fillRect/>
                    </a:stretch>
                  </pic:blipFill>
                  <pic:spPr>
                    <a:xfrm>
                      <a:off x="0" y="0"/>
                      <a:ext cx="632460" cy="415290"/>
                    </a:xfrm>
                    <a:prstGeom prst="rect">
                      <a:avLst/>
                    </a:prstGeom>
                    <a:noFill/>
                    <a:ln>
                      <a:noFill/>
                    </a:ln>
                  </pic:spPr>
                </pic:pic>
              </a:graphicData>
            </a:graphic>
          </wp:inline>
        </w:drawing>
      </w:r>
      <w:r>
        <w:rPr>
          <w:rFonts w:hint="eastAsia" w:ascii="宋体" w:hAnsi="宋体" w:cs="宋体"/>
          <w:szCs w:val="21"/>
        </w:rPr>
        <w:t xml:space="preserve">。 </w:t>
      </w:r>
    </w:p>
    <w:p>
      <w:pPr>
        <w:spacing w:line="440" w:lineRule="exact"/>
        <w:ind w:firstLine="420" w:firstLineChars="200"/>
        <w:rPr>
          <w:rFonts w:ascii="宋体" w:hAnsi="宋体" w:cs="宋体"/>
          <w:szCs w:val="21"/>
        </w:rPr>
      </w:pPr>
      <w:r>
        <w:rPr>
          <w:rFonts w:hint="eastAsia" w:ascii="宋体" w:hAnsi="宋体" w:cs="宋体"/>
          <w:position w:val="-16"/>
          <w:szCs w:val="21"/>
        </w:rPr>
        <w:object>
          <v:shape id="_x0000_i1052" o:spt="75" type="#_x0000_t75" style="height:18.6pt;width:29.4pt;" o:ole="t" filled="f" o:preferrelative="t" stroked="f" coordsize="21600,21600">
            <v:path/>
            <v:fill on="f" focussize="0,0"/>
            <v:stroke on="f" joinstyle="miter"/>
            <v:imagedata r:id="rId65" o:title=""/>
            <o:lock v:ext="edit" aspectratio="t"/>
            <w10:wrap type="none"/>
            <w10:anchorlock/>
          </v:shape>
          <o:OLEObject Type="Embed" ProgID="Equation.DSMT4" ShapeID="_x0000_i1052" DrawAspect="Content" ObjectID="_1468075752" r:id="rId64">
            <o:LockedField>false</o:LockedField>
          </o:OLEObject>
        </w:object>
      </w:r>
      <w:r>
        <w:rPr>
          <w:rFonts w:hint="eastAsia" w:ascii="宋体" w:hAnsi="宋体" w:cs="宋体"/>
          <w:szCs w:val="21"/>
        </w:rPr>
        <w:t>是单名信用违约互换套期工具h的监管风险权重，基于所在行业和信用水平，详见表</w:t>
      </w:r>
      <w:r>
        <w:rPr>
          <w:rFonts w:ascii="宋体" w:hAnsi="宋体" w:cs="宋体"/>
          <w:szCs w:val="21"/>
        </w:rPr>
        <w:t>1</w:t>
      </w:r>
      <w:r>
        <w:rPr>
          <w:rFonts w:hint="eastAsia" w:ascii="宋体" w:hAnsi="宋体" w:cs="宋体"/>
          <w:szCs w:val="21"/>
        </w:rPr>
        <w:t>。</w:t>
      </w:r>
    </w:p>
    <w:p>
      <w:pPr>
        <w:spacing w:line="440" w:lineRule="exact"/>
        <w:ind w:firstLine="420" w:firstLineChars="200"/>
        <w:rPr>
          <w:rFonts w:ascii="宋体" w:hAnsi="宋体" w:cs="宋体"/>
          <w:szCs w:val="21"/>
        </w:rPr>
      </w:pPr>
      <w:r>
        <w:rPr>
          <w:rFonts w:hint="eastAsia" w:ascii="宋体" w:hAnsi="宋体" w:cs="宋体"/>
          <w:szCs w:val="21"/>
        </w:rPr>
        <w:t>交易对手与单名信用违约互换套期工具的信用利差相关系数列表如下：</w:t>
      </w:r>
    </w:p>
    <w:p>
      <w:pPr>
        <w:spacing w:line="480" w:lineRule="exact"/>
        <w:jc w:val="center"/>
        <w:rPr>
          <w:rFonts w:ascii="宋体" w:hAnsi="宋体" w:cs="宋体"/>
          <w:b/>
          <w:szCs w:val="21"/>
        </w:rPr>
      </w:pPr>
      <w:r>
        <w:rPr>
          <w:rFonts w:hint="eastAsia" w:ascii="宋体" w:hAnsi="宋体" w:cs="宋体"/>
          <w:b/>
          <w:szCs w:val="21"/>
        </w:rPr>
        <w:t>表2：交易对手与单名信用违约互换套期工具的信用利差相关系数</w:t>
      </w:r>
    </w:p>
    <w:tbl>
      <w:tblPr>
        <w:tblStyle w:val="21"/>
        <w:tblW w:w="0" w:type="auto"/>
        <w:tblInd w:w="8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514"/>
        <w:gridCol w:w="192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4514" w:type="dxa"/>
            <w:vAlign w:val="center"/>
          </w:tcPr>
          <w:p>
            <w:pPr>
              <w:pStyle w:val="46"/>
              <w:spacing w:line="360" w:lineRule="auto"/>
              <w:jc w:val="center"/>
              <w:rPr>
                <w:rFonts w:ascii="宋体" w:hAnsi="宋体" w:cs="宋体"/>
                <w:b/>
                <w:kern w:val="2"/>
                <w:sz w:val="21"/>
                <w:szCs w:val="21"/>
                <w:lang w:eastAsia="zh-CN"/>
              </w:rPr>
            </w:pPr>
            <w:r>
              <w:rPr>
                <w:rFonts w:hint="eastAsia" w:ascii="宋体" w:hAnsi="宋体" w:cs="宋体"/>
                <w:b/>
                <w:kern w:val="2"/>
                <w:sz w:val="21"/>
                <w:szCs w:val="21"/>
                <w:lang w:eastAsia="zh-CN"/>
              </w:rPr>
              <w:t>单名信用违约互换套期工具</w:t>
            </w:r>
          </w:p>
        </w:tc>
        <w:tc>
          <w:tcPr>
            <w:tcW w:w="1921"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color w:val="auto"/>
                <w:kern w:val="2"/>
                <w:sz w:val="21"/>
                <w:szCs w:val="21"/>
              </w:rPr>
              <w:t>相关系数</w:t>
            </w:r>
            <w:r>
              <w:rPr>
                <w:rFonts w:hint="eastAsia" w:ascii="宋体" w:hAnsi="宋体" w:cs="宋体"/>
                <w:position w:val="-16"/>
                <w:sz w:val="21"/>
                <w:szCs w:val="21"/>
              </w:rPr>
              <w:object>
                <v:shape id="_x0000_i1053" o:spt="75" type="#_x0000_t75" style="height:19.8pt;width:22.8pt;" o:ole="t" filled="f" o:preferrelative="t" stroked="f" coordsize="21600,21600">
                  <v:path/>
                  <v:fill on="f" focussize="0,0"/>
                  <v:stroke on="f" joinstyle="miter"/>
                  <v:imagedata r:id="rId67" o:title=""/>
                  <o:lock v:ext="edit" aspectratio="t"/>
                  <w10:wrap type="none"/>
                  <w10:anchorlock/>
                </v:shape>
                <o:OLEObject Type="Embed" ProgID="Equation.DSMT4" ShapeID="_x0000_i1053" DrawAspect="Content" ObjectID="_1468075753" r:id="rId66">
                  <o:LockedField>false</o:LockedField>
                </o:OLEObject>
              </w:object>
            </w:r>
            <w:r>
              <w:rPr>
                <w:rFonts w:hint="eastAsia" w:ascii="宋体" w:hAnsi="宋体" w:cs="宋体"/>
                <w:b/>
                <w:color w:val="auto"/>
                <w:sz w:val="21"/>
                <w:szCs w:val="21"/>
                <w:vertAlign w:val="subscript"/>
              </w:rPr>
              <w:t xml:space="preserve">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直接基于相同交易对手</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与交易对手具有法律相关性</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与交易对手同在一个行业或地区</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r>
    </w:tbl>
    <w:p>
      <w:pPr>
        <w:spacing w:line="440" w:lineRule="exact"/>
        <w:ind w:firstLine="420" w:firstLineChars="200"/>
        <w:rPr>
          <w:rFonts w:ascii="宋体" w:hAnsi="宋体" w:cs="宋体"/>
          <w:szCs w:val="21"/>
        </w:rPr>
      </w:pPr>
      <w:r>
        <w:rPr>
          <w:rFonts w:hint="eastAsia" w:ascii="宋体" w:hAnsi="宋体" w:cs="宋体"/>
          <w:szCs w:val="21"/>
        </w:rPr>
        <w:t>（4）IH表示银行使用指数对冲工具，导致交易对手整体层面的CVA风险降低，计算公式如下：</w:t>
      </w:r>
    </w:p>
    <w:p>
      <w:pPr>
        <w:ind w:firstLine="420" w:firstLineChars="200"/>
        <w:jc w:val="center"/>
        <w:rPr>
          <w:rFonts w:ascii="宋体" w:hAnsi="宋体" w:cs="宋体"/>
          <w:szCs w:val="21"/>
        </w:rPr>
      </w:pPr>
      <w:r>
        <w:drawing>
          <wp:inline distT="0" distB="0" distL="114300" distR="114300">
            <wp:extent cx="1896110" cy="369570"/>
            <wp:effectExtent l="0" t="0" r="8890" b="11430"/>
            <wp:docPr id="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4"/>
                    <pic:cNvPicPr>
                      <a:picLocks noChangeAspect="1"/>
                    </pic:cNvPicPr>
                  </pic:nvPicPr>
                  <pic:blipFill>
                    <a:blip r:embed="rId68"/>
                    <a:stretch>
                      <a:fillRect/>
                    </a:stretch>
                  </pic:blipFill>
                  <pic:spPr>
                    <a:xfrm>
                      <a:off x="0" y="0"/>
                      <a:ext cx="1896110" cy="369570"/>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w:t>
      </w:r>
    </w:p>
    <w:p>
      <w:pPr>
        <w:spacing w:line="440" w:lineRule="exact"/>
        <w:ind w:firstLine="420" w:firstLineChars="200"/>
        <w:rPr>
          <w:rFonts w:ascii="宋体" w:hAnsi="宋体" w:cs="宋体"/>
          <w:szCs w:val="21"/>
        </w:rPr>
      </w:pPr>
      <w:r>
        <w:rPr>
          <w:rFonts w:hint="eastAsia" w:ascii="宋体" w:hAnsi="宋体" w:cs="宋体"/>
          <w:position w:val="-14"/>
          <w:szCs w:val="21"/>
        </w:rPr>
        <w:object>
          <v:shape id="_x0000_i1054" o:spt="75" type="#_x0000_t75" style="height:19.8pt;width:30.6pt;" o:ole="t" filled="f" o:preferrelative="t" stroked="f" coordsize="21600,21600">
            <v:path/>
            <v:fill on="f" focussize="0,0"/>
            <v:stroke on="f" joinstyle="miter"/>
            <v:imagedata r:id="rId70" o:title=""/>
            <o:lock v:ext="edit" aspectratio="t"/>
            <w10:wrap type="none"/>
            <w10:anchorlock/>
          </v:shape>
          <o:OLEObject Type="Embed" ProgID="Equation.DSMT4" ShapeID="_x0000_i1054" DrawAspect="Content" ObjectID="_1468075754" r:id="rId69">
            <o:LockedField>false</o:LockedField>
          </o:OLEObject>
        </w:object>
      </w:r>
      <w:r>
        <w:rPr>
          <w:rFonts w:hint="eastAsia" w:ascii="宋体" w:hAnsi="宋体" w:cs="宋体"/>
          <w:szCs w:val="21"/>
        </w:rPr>
        <w:t>是指数信用违约互换i的剩余期限。</w:t>
      </w:r>
    </w:p>
    <w:p>
      <w:pPr>
        <w:spacing w:line="440" w:lineRule="exact"/>
        <w:ind w:firstLine="420" w:firstLineChars="200"/>
        <w:rPr>
          <w:rFonts w:ascii="宋体" w:hAnsi="宋体" w:cs="宋体"/>
          <w:szCs w:val="21"/>
        </w:rPr>
      </w:pPr>
      <w:r>
        <w:rPr>
          <w:rFonts w:hint="eastAsia" w:ascii="宋体" w:hAnsi="宋体" w:cs="宋体"/>
          <w:position w:val="-14"/>
          <w:szCs w:val="21"/>
        </w:rPr>
        <w:object>
          <v:shape id="_x0000_i1055" o:spt="75" type="#_x0000_t75" style="height:19.8pt;width:25.2pt;" o:ole="t" filled="f" o:preferrelative="t" stroked="f" coordsize="21600,21600">
            <v:path/>
            <v:fill on="f" focussize="0,0"/>
            <v:stroke on="f" joinstyle="miter"/>
            <v:imagedata r:id="rId72" o:title=""/>
            <o:lock v:ext="edit" aspectratio="t"/>
            <w10:wrap type="none"/>
            <w10:anchorlock/>
          </v:shape>
          <o:OLEObject Type="Embed" ProgID="Equation.DSMT4" ShapeID="_x0000_i1055" DrawAspect="Content" ObjectID="_1468075755" r:id="rId71">
            <o:LockedField>false</o:LockedField>
          </o:OLEObject>
        </w:object>
      </w:r>
      <w:r>
        <w:rPr>
          <w:rFonts w:hint="eastAsia" w:ascii="宋体" w:hAnsi="宋体" w:cs="宋体"/>
          <w:szCs w:val="21"/>
        </w:rPr>
        <w:t>是指数信用违约互换i 的名义本金。</w:t>
      </w:r>
    </w:p>
    <w:p>
      <w:pPr>
        <w:ind w:firstLine="420" w:firstLineChars="200"/>
        <w:rPr>
          <w:rFonts w:ascii="宋体" w:hAnsi="宋体" w:cs="宋体"/>
          <w:szCs w:val="21"/>
        </w:rPr>
      </w:pPr>
      <w:r>
        <w:rPr>
          <w:rFonts w:hint="eastAsia" w:ascii="宋体" w:hAnsi="宋体" w:cs="宋体"/>
          <w:position w:val="-12"/>
          <w:szCs w:val="21"/>
        </w:rPr>
        <w:object>
          <v:shape id="_x0000_i1056" o:spt="75" type="#_x0000_t75" style="height:19.2pt;width:34.2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6" r:id="rId73">
            <o:LockedField>false</o:LockedField>
          </o:OLEObject>
        </w:object>
      </w:r>
      <w:r>
        <w:rPr>
          <w:rFonts w:hint="eastAsia" w:ascii="宋体" w:hAnsi="宋体" w:cs="宋体"/>
          <w:szCs w:val="21"/>
        </w:rPr>
        <w:t>是监管折现因子, 公式为</w:t>
      </w:r>
      <w:r>
        <w:drawing>
          <wp:inline distT="0" distB="0" distL="114300" distR="114300">
            <wp:extent cx="695960" cy="393065"/>
            <wp:effectExtent l="0" t="0" r="8890" b="6985"/>
            <wp:docPr id="1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5"/>
                    <pic:cNvPicPr>
                      <a:picLocks noChangeAspect="1"/>
                    </pic:cNvPicPr>
                  </pic:nvPicPr>
                  <pic:blipFill>
                    <a:blip r:embed="rId75"/>
                    <a:stretch>
                      <a:fillRect/>
                    </a:stretch>
                  </pic:blipFill>
                  <pic:spPr>
                    <a:xfrm>
                      <a:off x="0" y="0"/>
                      <a:ext cx="695960" cy="393065"/>
                    </a:xfrm>
                    <a:prstGeom prst="rect">
                      <a:avLst/>
                    </a:prstGeom>
                    <a:noFill/>
                    <a:ln>
                      <a:noFill/>
                    </a:ln>
                  </pic:spPr>
                </pic:pic>
              </a:graphicData>
            </a:graphic>
          </wp:inline>
        </w:drawing>
      </w:r>
      <w:r>
        <w:rPr>
          <w:rFonts w:hint="eastAsia" w:ascii="宋体" w:hAnsi="宋体" w:cs="宋体"/>
          <w:szCs w:val="21"/>
        </w:rPr>
        <w:t xml:space="preserve"> 。</w:t>
      </w:r>
    </w:p>
    <w:p>
      <w:pPr>
        <w:spacing w:line="440" w:lineRule="exact"/>
        <w:ind w:firstLine="420" w:firstLineChars="200"/>
        <w:rPr>
          <w:rFonts w:ascii="宋体" w:hAnsi="宋体" w:cs="宋体"/>
          <w:szCs w:val="21"/>
        </w:rPr>
      </w:pPr>
      <w:r>
        <w:rPr>
          <w:rFonts w:hint="eastAsia" w:ascii="宋体" w:hAnsi="宋体" w:cs="宋体"/>
          <w:position w:val="-16"/>
          <w:szCs w:val="21"/>
        </w:rPr>
        <w:object>
          <v:shape id="_x0000_i1057" o:spt="75" type="#_x0000_t75" style="height:18pt;width:25.8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hint="eastAsia" w:ascii="宋体" w:hAnsi="宋体" w:cs="宋体"/>
          <w:szCs w:val="21"/>
        </w:rPr>
        <w:t>是指数信用违约互换i的监管风险权重。对于属于同一行业且信用水平相同的指数，应在表1相应数值上乘以0.7；对于跨行业或跨信用水平等级的指数，应基于表1相应数值并根据指数加权计算后乘以0.7。</w:t>
      </w:r>
    </w:p>
    <w:p>
      <w:pPr>
        <w:spacing w:line="440" w:lineRule="exact"/>
        <w:ind w:firstLine="420" w:firstLineChars="200"/>
        <w:rPr>
          <w:rFonts w:ascii="宋体" w:hAnsi="宋体" w:cs="宋体"/>
          <w:szCs w:val="21"/>
        </w:rPr>
      </w:pPr>
      <w:r>
        <w:rPr>
          <w:rFonts w:hint="eastAsia" w:ascii="宋体" w:hAnsi="宋体" w:cs="宋体"/>
          <w:szCs w:val="21"/>
        </w:rPr>
        <w:t>（5）</w:t>
      </w:r>
      <w:r>
        <w:rPr>
          <w:rFonts w:hint="eastAsia" w:ascii="宋体" w:hAnsi="宋体" w:cs="宋体"/>
          <w:position w:val="-12"/>
          <w:szCs w:val="21"/>
        </w:rPr>
        <w:object>
          <v:shape id="_x0000_i1058" o:spt="75" type="#_x0000_t75" style="height:16.2pt;width:34.2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r>
        <w:rPr>
          <w:rFonts w:hint="eastAsia" w:ascii="宋体" w:hAnsi="宋体" w:cs="宋体"/>
          <w:szCs w:val="21"/>
        </w:rPr>
        <w:t>为表示错位对冲的参数，用于限制非直接对冲对资本要求的降低程度，计算公式如下：</w:t>
      </w:r>
    </w:p>
    <w:p>
      <w:pPr>
        <w:ind w:firstLine="420" w:firstLineChars="200"/>
        <w:jc w:val="center"/>
        <w:rPr>
          <w:rFonts w:ascii="宋体" w:hAnsi="宋体" w:cs="宋体"/>
          <w:szCs w:val="21"/>
        </w:rPr>
      </w:pPr>
      <w:r>
        <w:drawing>
          <wp:inline distT="0" distB="0" distL="114300" distR="114300">
            <wp:extent cx="2979420" cy="423545"/>
            <wp:effectExtent l="0" t="0" r="11430" b="14605"/>
            <wp:docPr id="1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6"/>
                    <pic:cNvPicPr>
                      <a:picLocks noChangeAspect="1"/>
                    </pic:cNvPicPr>
                  </pic:nvPicPr>
                  <pic:blipFill>
                    <a:blip r:embed="rId80"/>
                    <a:stretch>
                      <a:fillRect/>
                    </a:stretch>
                  </pic:blipFill>
                  <pic:spPr>
                    <a:xfrm>
                      <a:off x="0" y="0"/>
                      <a:ext cx="2979420" cy="42354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其中：系数计算与简化版一致。</w:t>
      </w:r>
    </w:p>
    <w:p>
      <w:pPr>
        <w:spacing w:line="440" w:lineRule="exact"/>
        <w:ind w:firstLine="420" w:firstLineChars="200"/>
        <w:rPr>
          <w:rFonts w:ascii="宋体" w:hAnsi="宋体" w:cs="宋体"/>
          <w:szCs w:val="21"/>
        </w:rPr>
      </w:pPr>
      <w:bookmarkStart w:id="1" w:name="_Hlk135431754"/>
      <w:r>
        <w:rPr>
          <w:rFonts w:hint="eastAsia" w:ascii="宋体" w:hAnsi="宋体" w:cs="宋体"/>
          <w:szCs w:val="21"/>
        </w:rPr>
        <w:t>单个保证金协议下多个净额结算组合情形的</w:t>
      </w:r>
      <w:r>
        <w:rPr>
          <w:rFonts w:hint="eastAsia" w:ascii="宋体" w:hAnsi="宋体" w:cs="宋体"/>
          <w:position w:val="-12"/>
          <w:szCs w:val="21"/>
        </w:rPr>
        <w:object>
          <v:shape id="_x0000_i1059" o:spt="75" type="#_x0000_t75" style="height:16.8pt;width:34.2pt;" o:ole="t" filled="f" o:preferrelative="t" stroked="f" coordsize="21600,21600">
            <v:path/>
            <v:fill on="f" focussize="0,0"/>
            <v:stroke on="f" joinstyle="miter"/>
            <v:imagedata r:id="rId7" o:title=""/>
            <o:lock v:ext="edit" aspectratio="t"/>
            <w10:wrap type="none"/>
            <w10:anchorlock/>
          </v:shape>
          <o:OLEObject Type="Embed" ProgID="Equation.DSMT4" ShapeID="_x0000_i1059" DrawAspect="Content" ObjectID="_1468075759" r:id="rId81">
            <o:LockedField>false</o:LockedField>
          </o:OLEObject>
        </w:object>
      </w:r>
      <w:r>
        <w:rPr>
          <w:rFonts w:hint="eastAsia" w:ascii="宋体" w:hAnsi="宋体" w:cs="宋体"/>
          <w:szCs w:val="21"/>
        </w:rPr>
        <w:t>的计算规则：当单个保证金协议下有多个净额结算组合时，仅得到保证金协议的</w:t>
      </w:r>
      <w:r>
        <w:rPr>
          <w:rFonts w:ascii="宋体" w:hAnsi="宋体" w:cs="宋体"/>
          <w:szCs w:val="21"/>
        </w:rPr>
        <w:t>EAD总数，并未再分配至每个净额结算交易对手</w:t>
      </w:r>
      <w:r>
        <w:rPr>
          <w:position w:val="-12"/>
        </w:rPr>
        <w:object>
          <v:shape id="_x0000_i1060" o:spt="75" type="#_x0000_t75" style="height:18.6pt;width:36.6pt;" o:ole="t" filled="f" o:preferrelative="t" stroked="f" coordsize="21600,21600">
            <v:path/>
            <v:fill on="f" focussize="0,0"/>
            <v:stroke on="f" joinstyle="miter"/>
            <v:imagedata r:id="rId83" o:title=""/>
            <o:lock v:ext="edit" aspectratio="t"/>
            <w10:wrap type="none"/>
            <w10:anchorlock/>
          </v:shape>
          <o:OLEObject Type="Embed" ProgID="Equation.DSMT4" ShapeID="_x0000_i1060" DrawAspect="Content" ObjectID="_1468075760" r:id="rId82">
            <o:LockedField>false</o:LockedField>
          </o:OLEObject>
        </w:object>
      </w:r>
      <w:r>
        <w:rPr>
          <w:rFonts w:hint="eastAsia" w:ascii="宋体" w:hAnsi="宋体" w:cs="宋体"/>
          <w:szCs w:val="21"/>
        </w:rPr>
        <w:t>。此种情形下，</w:t>
      </w:r>
      <w:r>
        <w:rPr>
          <w:rFonts w:hint="eastAsia" w:ascii="宋体" w:hAnsi="宋体" w:cs="宋体"/>
          <w:position w:val="-12"/>
          <w:szCs w:val="21"/>
        </w:rPr>
        <w:object>
          <v:shape id="_x0000_i1061" o:spt="75" type="#_x0000_t75" style="height:16.8pt;width:34.2pt;" o:ole="t" filled="f" o:preferrelative="t" stroked="f" coordsize="21600,21600">
            <v:path/>
            <v:fill on="f" focussize="0,0"/>
            <v:stroke on="f" joinstyle="miter"/>
            <v:imagedata r:id="rId7" o:title=""/>
            <o:lock v:ext="edit" aspectratio="t"/>
            <w10:wrap type="none"/>
            <w10:anchorlock/>
          </v:shape>
          <o:OLEObject Type="Embed" ProgID="Equation.DSMT4" ShapeID="_x0000_i1061" DrawAspect="Content" ObjectID="_1468075761" r:id="rId84">
            <o:LockedField>false</o:LockedField>
          </o:OLEObject>
        </w:object>
      </w:r>
      <w:r>
        <w:rPr>
          <w:rFonts w:hint="eastAsia" w:ascii="宋体" w:hAnsi="宋体" w:cs="宋体"/>
          <w:szCs w:val="21"/>
        </w:rPr>
        <w:t>计算规则为：</w:t>
      </w:r>
    </w:p>
    <w:p>
      <w:pPr>
        <w:spacing w:line="440" w:lineRule="exact"/>
        <w:ind w:firstLine="420" w:firstLineChars="200"/>
        <w:rPr>
          <w:rFonts w:ascii="宋体" w:hAnsi="宋体" w:cs="宋体"/>
          <w:szCs w:val="21"/>
        </w:rPr>
      </w:pPr>
      <w:r>
        <w:drawing>
          <wp:anchor distT="0" distB="0" distL="114300" distR="114300" simplePos="0" relativeHeight="251662336" behindDoc="0" locked="0" layoutInCell="1" allowOverlap="1">
            <wp:simplePos x="0" y="0"/>
            <wp:positionH relativeFrom="column">
              <wp:posOffset>919480</wp:posOffset>
            </wp:positionH>
            <wp:positionV relativeFrom="paragraph">
              <wp:posOffset>86360</wp:posOffset>
            </wp:positionV>
            <wp:extent cx="3548380" cy="474980"/>
            <wp:effectExtent l="0" t="0" r="13970" b="1270"/>
            <wp:wrapTopAndBottom/>
            <wp:docPr id="1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7"/>
                    <pic:cNvPicPr>
                      <a:picLocks noChangeAspect="1"/>
                    </pic:cNvPicPr>
                  </pic:nvPicPr>
                  <pic:blipFill>
                    <a:blip r:embed="rId85"/>
                    <a:stretch>
                      <a:fillRect/>
                    </a:stretch>
                  </pic:blipFill>
                  <pic:spPr>
                    <a:xfrm>
                      <a:off x="0" y="0"/>
                      <a:ext cx="3548380" cy="474980"/>
                    </a:xfrm>
                    <a:prstGeom prst="rect">
                      <a:avLst/>
                    </a:prstGeom>
                    <a:noFill/>
                    <a:ln>
                      <a:noFill/>
                    </a:ln>
                  </pic:spPr>
                </pic:pic>
              </a:graphicData>
            </a:graphic>
          </wp:anchor>
        </w:drawing>
      </w:r>
      <w:r>
        <w:rPr>
          <w:rFonts w:hint="eastAsia" w:ascii="宋体" w:hAnsi="宋体" w:cs="宋体"/>
          <w:position w:val="-14"/>
          <w:szCs w:val="21"/>
        </w:rPr>
        <w:object>
          <v:shape id="_x0000_i1062" o:spt="75" type="#_x0000_t75" style="height:16.2pt;width:26.4pt;" o:ole="t" filled="f" o:preferrelative="t" stroked="f" coordsize="21600,21600">
            <v:path/>
            <v:fill on="f" focussize="0,0"/>
            <v:stroke on="f" joinstyle="miter"/>
            <v:imagedata r:id="rId33" o:title=""/>
            <o:lock v:ext="edit" aspectratio="t"/>
            <w10:wrap type="none"/>
            <w10:anchorlock/>
          </v:shape>
          <o:OLEObject Type="Embed" ProgID="Equation.DSMT4" ShapeID="_x0000_i1062" DrawAspect="Content" ObjectID="_1468075762" r:id="rId86">
            <o:LockedField>false</o:LockedField>
          </o:OLEObject>
        </w:object>
      </w:r>
      <w:r>
        <w:rPr>
          <w:rFonts w:hint="eastAsia" w:ascii="宋体" w:hAnsi="宋体" w:cs="宋体"/>
          <w:szCs w:val="21"/>
        </w:rPr>
        <w:t>是保证金协议M</w:t>
      </w:r>
      <w:r>
        <w:rPr>
          <w:rFonts w:ascii="宋体" w:hAnsi="宋体" w:cs="宋体"/>
          <w:szCs w:val="21"/>
        </w:rPr>
        <w:t>A</w:t>
      </w:r>
      <w:r>
        <w:rPr>
          <w:rFonts w:hint="eastAsia" w:ascii="宋体" w:hAnsi="宋体" w:cs="宋体"/>
          <w:szCs w:val="21"/>
        </w:rPr>
        <w:t>的有效期限，详见《办法》附件5第六部分（六），且</w:t>
      </w:r>
      <w:r>
        <w:rPr>
          <w:rFonts w:hint="eastAsia" w:ascii="宋体" w:hAnsi="宋体" w:cs="宋体"/>
          <w:position w:val="-14"/>
          <w:szCs w:val="21"/>
        </w:rPr>
        <w:object>
          <v:shape id="_x0000_i1063" o:spt="75" type="#_x0000_t75" style="height:16.2pt;width:27pt;" o:ole="t" filled="f" o:preferrelative="t" stroked="f" coordsize="21600,21600">
            <v:path/>
            <v:fill on="f" focussize="0,0"/>
            <v:stroke on="f" joinstyle="miter"/>
            <v:imagedata r:id="rId35" o:title=""/>
            <o:lock v:ext="edit" aspectratio="t"/>
            <w10:wrap type="none"/>
            <w10:anchorlock/>
          </v:shape>
          <o:OLEObject Type="Embed" ProgID="Equation.DSMT4" ShapeID="_x0000_i1063" DrawAspect="Content" ObjectID="_1468075763" r:id="rId87">
            <o:LockedField>false</o:LockedField>
          </o:OLEObject>
        </w:object>
      </w:r>
      <w:r>
        <w:rPr>
          <w:rFonts w:hint="eastAsia" w:ascii="宋体" w:hAnsi="宋体" w:cs="宋体"/>
          <w:szCs w:val="21"/>
        </w:rPr>
        <w:t>不受上限（5年）和下限（1年）的限制。</w:t>
      </w:r>
    </w:p>
    <w:p>
      <w:pPr>
        <w:pStyle w:val="47"/>
        <w:spacing w:line="44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64" o:spt="75" type="#_x0000_t75" style="height:15.6pt;width:37.8pt;" o:ole="t" filled="f" o:preferrelative="t" stroked="f" coordsize="21600,21600">
            <v:path/>
            <v:fill on="f" focussize="0,0"/>
            <v:stroke on="f" joinstyle="miter"/>
            <v:imagedata r:id="rId37" o:title=""/>
            <o:lock v:ext="edit" aspectratio="t"/>
            <w10:wrap type="none"/>
            <w10:anchorlock/>
          </v:shape>
          <o:OLEObject Type="Embed" ProgID="Equation.DSMT4" ShapeID="_x0000_i1064" DrawAspect="Content" ObjectID="_1468075764" r:id="rId88">
            <o:LockedField>false</o:LockedField>
          </o:OLEObject>
        </w:object>
      </w:r>
      <w:r>
        <w:rPr>
          <w:rFonts w:hint="eastAsia" w:ascii="宋体" w:hAnsi="宋体" w:cs="宋体"/>
          <w:color w:val="auto"/>
          <w:kern w:val="2"/>
          <w:sz w:val="21"/>
          <w:szCs w:val="21"/>
        </w:rPr>
        <w:t>是保证金协议M</w:t>
      </w:r>
      <w:r>
        <w:rPr>
          <w:rFonts w:ascii="宋体" w:hAnsi="宋体" w:cs="宋体"/>
          <w:color w:val="auto"/>
          <w:kern w:val="2"/>
          <w:sz w:val="21"/>
          <w:szCs w:val="21"/>
        </w:rPr>
        <w:t>A</w:t>
      </w:r>
      <w:r>
        <w:rPr>
          <w:rFonts w:hint="eastAsia" w:ascii="宋体" w:hAnsi="宋体" w:cs="宋体"/>
          <w:color w:val="auto"/>
          <w:kern w:val="2"/>
          <w:sz w:val="21"/>
          <w:szCs w:val="21"/>
        </w:rPr>
        <w:t>的违约风险暴露，计算方法与交易对手违约风险暴露计量规则一致，详见《办法》附件9。</w:t>
      </w:r>
    </w:p>
    <w:p>
      <w:pPr>
        <w:pStyle w:val="47"/>
        <w:ind w:firstLine="420" w:firstLineChars="200"/>
        <w:jc w:val="both"/>
        <w:rPr>
          <w:rFonts w:ascii="宋体" w:hAnsi="宋体" w:cs="宋体"/>
          <w:sz w:val="21"/>
          <w:szCs w:val="21"/>
        </w:rPr>
      </w:pPr>
      <w:r>
        <w:rPr>
          <w:rFonts w:hint="eastAsia" w:ascii="宋体" w:hAnsi="宋体" w:cs="宋体"/>
          <w:position w:val="-14"/>
          <w:sz w:val="21"/>
          <w:szCs w:val="21"/>
        </w:rPr>
        <w:object>
          <v:shape id="_x0000_i1065" o:spt="75" type="#_x0000_t75" style="height:16.2pt;width:30.6pt;" o:ole="t" filled="f" o:preferrelative="t" stroked="f" coordsize="21600,21600">
            <v:path/>
            <v:fill on="f" focussize="0,0"/>
            <v:stroke on="f" joinstyle="miter"/>
            <v:imagedata r:id="rId39" o:title=""/>
            <o:lock v:ext="edit" aspectratio="t"/>
            <w10:wrap type="none"/>
            <w10:anchorlock/>
          </v:shape>
          <o:OLEObject Type="Embed" ProgID="Equation.DSMT4" ShapeID="_x0000_i1065" DrawAspect="Content" ObjectID="_1468075765" r:id="rId89">
            <o:LockedField>false</o:LockedField>
          </o:OLEObject>
        </w:object>
      </w:r>
      <w:r>
        <w:rPr>
          <w:rFonts w:hint="eastAsia" w:ascii="宋体" w:hAnsi="宋体" w:cs="宋体"/>
          <w:sz w:val="21"/>
          <w:szCs w:val="21"/>
        </w:rPr>
        <w:t>是监管折现因子, 公式为</w:t>
      </w:r>
      <w:r>
        <w:drawing>
          <wp:inline distT="0" distB="0" distL="114300" distR="114300">
            <wp:extent cx="668020" cy="379730"/>
            <wp:effectExtent l="0" t="0" r="17780" b="1270"/>
            <wp:docPr id="1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0"/>
                    <pic:cNvPicPr>
                      <a:picLocks noChangeAspect="1"/>
                    </pic:cNvPicPr>
                  </pic:nvPicPr>
                  <pic:blipFill>
                    <a:blip r:embed="rId40"/>
                    <a:stretch>
                      <a:fillRect/>
                    </a:stretch>
                  </pic:blipFill>
                  <pic:spPr>
                    <a:xfrm>
                      <a:off x="0" y="0"/>
                      <a:ext cx="668020" cy="379730"/>
                    </a:xfrm>
                    <a:prstGeom prst="rect">
                      <a:avLst/>
                    </a:prstGeom>
                    <a:noFill/>
                    <a:ln>
                      <a:noFill/>
                    </a:ln>
                  </pic:spPr>
                </pic:pic>
              </a:graphicData>
            </a:graphic>
          </wp:inline>
        </w:drawing>
      </w:r>
    </w:p>
    <w:bookmarkEnd w:id="1"/>
    <w:p>
      <w:pPr>
        <w:spacing w:line="440" w:lineRule="exact"/>
        <w:ind w:firstLine="420" w:firstLineChars="200"/>
        <w:rPr>
          <w:szCs w:val="21"/>
        </w:rPr>
      </w:pPr>
      <w:r>
        <w:rPr>
          <w:rFonts w:hint="eastAsia"/>
          <w:szCs w:val="21"/>
        </w:rPr>
        <w:t>[合计]：填报机构应根据是否满足</w:t>
      </w:r>
      <w:r>
        <w:rPr>
          <w:rFonts w:hint="eastAsia"/>
          <w:bCs/>
          <w:szCs w:val="21"/>
        </w:rPr>
        <w:t>信用估值调整风险合格对冲，来</w:t>
      </w:r>
      <w:r>
        <w:rPr>
          <w:rFonts w:hint="eastAsia"/>
          <w:szCs w:val="21"/>
        </w:rPr>
        <w:t>选择填报[1.简化版]或[2.完整版]。存在信用估值调整风险合格对冲的</w:t>
      </w:r>
      <w:r>
        <w:rPr>
          <w:rFonts w:hint="eastAsia"/>
          <w:bCs/>
          <w:szCs w:val="21"/>
        </w:rPr>
        <w:t>填报机构</w:t>
      </w:r>
      <w:r>
        <w:rPr>
          <w:rFonts w:hint="eastAsia"/>
          <w:szCs w:val="21"/>
        </w:rPr>
        <w:t>可适用完整版，其余</w:t>
      </w:r>
      <w:r>
        <w:rPr>
          <w:rFonts w:hint="eastAsia"/>
          <w:bCs/>
          <w:szCs w:val="21"/>
        </w:rPr>
        <w:t>填报机构</w:t>
      </w:r>
      <w:r>
        <w:rPr>
          <w:rFonts w:hint="eastAsia"/>
          <w:szCs w:val="21"/>
        </w:rPr>
        <w:t>适用简化版。</w:t>
      </w:r>
    </w:p>
    <w:p>
      <w:pPr>
        <w:spacing w:line="440" w:lineRule="exact"/>
        <w:ind w:firstLine="420" w:firstLineChars="200"/>
        <w:rPr>
          <w:szCs w:val="21"/>
        </w:rPr>
      </w:pPr>
      <w:r>
        <w:rPr>
          <w:szCs w:val="21"/>
        </w:rPr>
        <w:t>[A风险</w:t>
      </w:r>
      <w:r>
        <w:rPr>
          <w:rFonts w:hint="eastAsia"/>
          <w:szCs w:val="21"/>
        </w:rPr>
        <w:t>加权资产</w:t>
      </w:r>
      <w:r>
        <w:rPr>
          <w:szCs w:val="21"/>
        </w:rPr>
        <w:t>]：是指填报机构</w:t>
      </w:r>
      <w:r>
        <w:rPr>
          <w:rFonts w:hint="eastAsia"/>
          <w:szCs w:val="21"/>
        </w:rPr>
        <w:t>信用估值调整</w:t>
      </w:r>
      <w:r>
        <w:rPr>
          <w:szCs w:val="21"/>
        </w:rPr>
        <w:t>风险加权资产。</w:t>
      </w:r>
    </w:p>
    <w:p>
      <w:pPr>
        <w:spacing w:line="440" w:lineRule="exact"/>
        <w:ind w:firstLine="421" w:firstLineChars="200"/>
        <w:rPr>
          <w:b/>
          <w:szCs w:val="21"/>
        </w:rPr>
      </w:pPr>
      <w:r>
        <w:rPr>
          <w:rFonts w:hint="eastAsia"/>
          <w:b/>
          <w:szCs w:val="21"/>
        </w:rPr>
        <w:t>第II部分</w:t>
      </w:r>
      <w:r>
        <w:rPr>
          <w:b/>
          <w:szCs w:val="21"/>
        </w:rPr>
        <w:t>：</w:t>
      </w:r>
      <w:r>
        <w:rPr>
          <w:rFonts w:hint="eastAsia"/>
          <w:b/>
          <w:szCs w:val="21"/>
        </w:rPr>
        <w:t>中央交易对手</w:t>
      </w:r>
      <w:r>
        <w:rPr>
          <w:b/>
          <w:szCs w:val="21"/>
        </w:rPr>
        <w:t>风险加权资产计算表</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应计算银行账簿和交易账簿中中央交易对手风险暴露的风险加权资产，涉及的业务包括场外衍生工具交易、在交易所交易的衍生工具交易、证券融资交易以及长期限结算交易。中央交易对手信用风险加权资产为交易风险暴露与违约基金风险暴露的风险加权资产之和。</w:t>
      </w:r>
    </w:p>
    <w:p>
      <w:pPr>
        <w:spacing w:line="440" w:lineRule="exact"/>
        <w:ind w:firstLine="420" w:firstLineChars="200"/>
        <w:rPr>
          <w:rFonts w:ascii="宋体" w:hAnsi="宋体" w:cs="宋体"/>
          <w:szCs w:val="21"/>
        </w:rPr>
      </w:pPr>
      <w:r>
        <w:rPr>
          <w:rFonts w:hint="eastAsia" w:ascii="宋体" w:hAnsi="宋体" w:cs="宋体"/>
          <w:szCs w:val="21"/>
        </w:rPr>
        <w:t>中央交易对手分为合格中央交易对手与不合格中央交易对手。</w:t>
      </w:r>
      <w:r>
        <w:rPr>
          <w:rFonts w:hint="eastAsia"/>
          <w:bCs/>
          <w:szCs w:val="21"/>
        </w:rPr>
        <w:t>填报机构</w:t>
      </w:r>
      <w:r>
        <w:rPr>
          <w:rFonts w:hint="eastAsia" w:ascii="宋体" w:hAnsi="宋体" w:cs="宋体"/>
          <w:szCs w:val="21"/>
        </w:rPr>
        <w:t>对合格中央交易对手和不合格中央交易对手的交易对手风险暴露计量规则分别见《办法》附件10第二部分和第四部分。如果某合格中央交易对手不再满足合格标准，除国家金融监督管理总局另行规定，3个月内，</w:t>
      </w:r>
      <w:r>
        <w:rPr>
          <w:rFonts w:hint="eastAsia"/>
          <w:bCs/>
          <w:szCs w:val="21"/>
        </w:rPr>
        <w:t>填报机构</w:t>
      </w:r>
      <w:r>
        <w:rPr>
          <w:rFonts w:hint="eastAsia" w:ascii="宋体" w:hAnsi="宋体" w:cs="宋体"/>
          <w:szCs w:val="21"/>
        </w:rPr>
        <w:t>可按照合格中央交易对手的规则计量风险加权资产；3个月后，</w:t>
      </w:r>
      <w:r>
        <w:rPr>
          <w:rFonts w:hint="eastAsia"/>
          <w:bCs/>
          <w:szCs w:val="21"/>
        </w:rPr>
        <w:t>填报机构</w:t>
      </w:r>
      <w:r>
        <w:rPr>
          <w:rFonts w:hint="eastAsia" w:ascii="宋体" w:hAnsi="宋体" w:cs="宋体"/>
          <w:szCs w:val="21"/>
        </w:rPr>
        <w:t>应按照不合格中央交易对手的规则计量风险加权资产。</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对中央交易对手风险暴露不纳入内部评级法覆盖范围。</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对合格中央交易对手风险暴露（包括交易风险暴露和违约基金风险暴露）的资本计提要求高于同等条件下对不合格中央交易对手所有风险暴露的资本计提要求时，应取后者作为资本计提要求。</w:t>
      </w:r>
    </w:p>
    <w:p>
      <w:pPr>
        <w:spacing w:line="440" w:lineRule="exact"/>
        <w:ind w:firstLine="420" w:firstLineChars="200"/>
        <w:rPr>
          <w:rFonts w:ascii="宋体" w:hAnsi="宋体" w:cs="宋体"/>
          <w:szCs w:val="21"/>
        </w:rPr>
      </w:pPr>
      <w:r>
        <w:rPr>
          <w:rFonts w:hint="eastAsia" w:ascii="宋体" w:hAnsi="宋体" w:cs="宋体"/>
          <w:szCs w:val="21"/>
        </w:rPr>
        <w:t>1.交易风险暴露</w:t>
      </w:r>
    </w:p>
    <w:p>
      <w:pPr>
        <w:spacing w:line="440" w:lineRule="exact"/>
        <w:ind w:firstLine="420" w:firstLineChars="200"/>
        <w:rPr>
          <w:rFonts w:ascii="宋体" w:hAnsi="宋体" w:cs="宋体"/>
          <w:szCs w:val="21"/>
        </w:rPr>
      </w:pPr>
      <w:r>
        <w:rPr>
          <w:rFonts w:hint="eastAsia" w:ascii="宋体" w:hAnsi="宋体" w:cs="宋体"/>
          <w:szCs w:val="21"/>
        </w:rPr>
        <w:t>（1）作为中央交易对手的清算会员：对中央交易对手风险暴露</w:t>
      </w:r>
    </w:p>
    <w:p>
      <w:pPr>
        <w:spacing w:line="440" w:lineRule="exact"/>
        <w:ind w:firstLine="420" w:firstLineChars="200"/>
        <w:rPr>
          <w:rFonts w:ascii="宋体" w:hAnsi="宋体" w:cs="宋体"/>
          <w:szCs w:val="21"/>
        </w:rPr>
      </w:pPr>
      <w:r>
        <w:rPr>
          <w:rFonts w:hint="eastAsia" w:ascii="宋体" w:hAnsi="宋体" w:cs="宋体"/>
          <w:szCs w:val="21"/>
        </w:rPr>
        <w:t>商业银行作为中央交易对手的清算会员，如果为自身提供清算，与中央交易对手交易风险暴露的风险权重为2%；如果商业银行为客户提供清算服务，且中央交易对手违约导致客户损失时需弥补客户损失，商业银行对该中央交易对手交易风险暴露的风险权重也为2%。商业银行应按照《办法》附件9计算衍生工具、长期限结算交易的违约风险暴露和证券融资交易风险缓释后的交易风险暴露。商业银行采用交易对手信用风险标准法（SA-CCR）时，应使用至少10天的保证金风险期间。</w:t>
      </w:r>
    </w:p>
    <w:p>
      <w:pPr>
        <w:spacing w:line="440" w:lineRule="exact"/>
        <w:ind w:firstLine="420" w:firstLineChars="200"/>
        <w:rPr>
          <w:rFonts w:ascii="宋体" w:hAnsi="宋体" w:cs="宋体"/>
          <w:szCs w:val="21"/>
        </w:rPr>
      </w:pPr>
      <w:r>
        <w:rPr>
          <w:rFonts w:hint="eastAsia" w:ascii="宋体" w:hAnsi="宋体" w:cs="宋体"/>
          <w:szCs w:val="21"/>
        </w:rPr>
        <w:t>（2）作为中央交易对手的清算会员：对客户风险暴露</w:t>
      </w:r>
    </w:p>
    <w:p>
      <w:pPr>
        <w:spacing w:line="440" w:lineRule="exact"/>
        <w:ind w:firstLine="420" w:firstLineChars="200"/>
        <w:rPr>
          <w:rFonts w:ascii="宋体" w:hAnsi="宋体" w:cs="宋体"/>
          <w:szCs w:val="21"/>
        </w:rPr>
      </w:pPr>
      <w:r>
        <w:rPr>
          <w:rFonts w:hint="eastAsia" w:ascii="宋体" w:hAnsi="宋体" w:cs="宋体"/>
          <w:szCs w:val="21"/>
        </w:rPr>
        <w:t>商业银行作为中央交易对手的清算会员，不论商业银行为该交易提供保证，还是仅作为客户与中央交易对手之间的中介，均应按照双边交易对客户风险暴露（包括潜在的信用估值调整风险暴露）计提资本。鉴于商业银行提供清算服务的交易能够在较短时间内平仓，商业银行采用现期风险暴露法时，可对客户风险暴露乘以不低于0.71的系数（若保证金风险期间为5天，则系数为0.71；若保证金风险期间为6、7、8、9或10天，则系数分别为0.77、0.84、0.89、0.95或1）；商业银行采用交易对手信用风险标准法（SA-CCR）时，应使用至少5天的保证金风险期间。</w:t>
      </w:r>
    </w:p>
    <w:p>
      <w:pPr>
        <w:spacing w:line="440" w:lineRule="exact"/>
        <w:ind w:firstLine="420" w:firstLineChars="200"/>
        <w:rPr>
          <w:rFonts w:ascii="宋体" w:hAnsi="宋体" w:cs="宋体"/>
          <w:szCs w:val="21"/>
        </w:rPr>
      </w:pPr>
      <w:r>
        <w:rPr>
          <w:rFonts w:hint="eastAsia" w:ascii="宋体" w:hAnsi="宋体" w:cs="宋体"/>
          <w:szCs w:val="21"/>
        </w:rPr>
        <w:t>（3）作为客户：对清算会员和中央交易对手风险暴露</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商业银行作为中央交易对手清算会员的客户，在该交易中清算会员充当商业银行与中央交易对手之间的中介，并与中央交易对手开展抵消交易，商业银行对该清算会员风险暴露的风险权重为2%；如果商业银行与中央交易对手直接交易，该清算会员提供保证，商业银行对中央交易对手风险暴露的风险权重为2%；多层级客户结构中，较低层级客户对较高层级客户风险暴露的风险权重也为2%。上述三种情形下采用2%的风险权重应满足以下两个条件：</w:t>
      </w:r>
    </w:p>
    <w:p>
      <w:pPr>
        <w:spacing w:line="440" w:lineRule="exact"/>
        <w:ind w:firstLine="420" w:firstLineChars="200"/>
        <w:rPr>
          <w:rFonts w:ascii="宋体" w:hAnsi="宋体" w:cs="宋体"/>
          <w:szCs w:val="21"/>
        </w:rPr>
      </w:pPr>
      <w:r>
        <w:rPr>
          <w:rFonts w:hint="eastAsia" w:ascii="宋体" w:hAnsi="宋体" w:cs="宋体"/>
          <w:szCs w:val="21"/>
        </w:rPr>
        <w:t>a.中央交易对手将抵消交易识别为客户交易，并持有相应的抵押品，且清算会员具备相应制度安排，确保在清算会员违约或破产、清算会员的其他客户违约或破产、清算会员及其他客户同时违约或破产等三种情形下，清算会员都能防止该客户遭受损失。商业银行应按照监管要求提供独立的法律意见书，证明在上述三种情形下，都将受到相关法律保护而不会遭受损失。</w:t>
      </w:r>
    </w:p>
    <w:p>
      <w:pPr>
        <w:spacing w:line="440" w:lineRule="exact"/>
        <w:ind w:firstLine="420" w:firstLineChars="200"/>
        <w:rPr>
          <w:rFonts w:ascii="宋体" w:hAnsi="宋体" w:cs="宋体"/>
          <w:szCs w:val="21"/>
        </w:rPr>
      </w:pPr>
      <w:r>
        <w:rPr>
          <w:rFonts w:hint="eastAsia" w:ascii="宋体" w:hAnsi="宋体" w:cs="宋体"/>
          <w:szCs w:val="21"/>
        </w:rPr>
        <w:t>b.相关的法律、制度、规则、合同或监管安排能够保证，若清算会员违约或破产，与该清算会员的抵消交易将非常有可能通过中央交易对手或被中央交易对手间接执行。</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如果在清算会员和清算会员的其他客户同时违约或破产时，不能保证作为客户的商业银行免受损失，但上述两个条件中其它条件都满足的情形下，客户对该清算会员风险暴露或客户对较高层级客户风险暴露的风险权重为4%。</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3 \* GB3 \* MERGEFORMAT </w:instrText>
      </w:r>
      <w:r>
        <w:rPr>
          <w:rFonts w:hint="eastAsia" w:ascii="宋体" w:hAnsi="宋体" w:cs="宋体"/>
          <w:szCs w:val="21"/>
        </w:rPr>
        <w:fldChar w:fldCharType="separate"/>
      </w:r>
      <w:r>
        <w:t>③</w:t>
      </w:r>
      <w:r>
        <w:rPr>
          <w:rFonts w:hint="eastAsia" w:ascii="宋体" w:hAnsi="宋体" w:cs="宋体"/>
          <w:szCs w:val="21"/>
        </w:rPr>
        <w:fldChar w:fldCharType="end"/>
      </w:r>
      <w:r>
        <w:rPr>
          <w:rFonts w:hint="eastAsia" w:ascii="宋体" w:hAnsi="宋体" w:cs="宋体"/>
          <w:szCs w:val="21"/>
        </w:rPr>
        <w:t>若不满足上述情形，商业银行作为清算会员的客户，应按照双边交易计算对该清算会员风险暴露（包括潜在的信用估值调整风险暴露）风险加权资产。</w:t>
      </w:r>
    </w:p>
    <w:p>
      <w:pPr>
        <w:spacing w:line="440" w:lineRule="exact"/>
        <w:ind w:firstLine="420" w:firstLineChars="200"/>
        <w:rPr>
          <w:rFonts w:ascii="宋体" w:hAnsi="宋体" w:cs="宋体"/>
          <w:szCs w:val="21"/>
        </w:rPr>
      </w:pPr>
      <w:r>
        <w:rPr>
          <w:rFonts w:hint="eastAsia" w:ascii="宋体" w:hAnsi="宋体" w:cs="宋体"/>
          <w:szCs w:val="21"/>
        </w:rPr>
        <w:t>（4）抵质押品的处理</w:t>
      </w:r>
    </w:p>
    <w:p>
      <w:pPr>
        <w:spacing w:line="440" w:lineRule="exact"/>
        <w:ind w:firstLine="420" w:firstLineChars="200"/>
        <w:rPr>
          <w:rFonts w:ascii="宋体" w:hAnsi="宋体" w:cs="宋体"/>
          <w:szCs w:val="21"/>
        </w:rPr>
      </w:pPr>
      <w:r>
        <w:rPr>
          <w:rFonts w:hint="eastAsia" w:ascii="宋体" w:hAnsi="宋体" w:cs="宋体"/>
          <w:szCs w:val="21"/>
        </w:rPr>
        <w:t>不论商业银行提交的资产是否作为抵质押品，均应对其计提资本。如果商业银行作为清算会员或客户，其资产或抵质押品提交给中央交易对手或另一家清算会员，且无法实现破产隔离，应按照资产或抵质押品持有主体确定风险权重（如果持有主体为中央交易对手，风险权重为2%），进而计算交易对手信用风险资本要求；如果抵质押品由托管人保管且以破产隔离方式持有，无需对该抵质押品计提交易对手信用风险资本要求。若中央交易对手代表客户持有抵质押品且无法实现破产隔离，但满足本部分（3）</w:t>
      </w: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条件的该抵质押品风险权重为2%；满足（3）</w:t>
      </w: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条件的该抵质押品风险权重为4%。</w:t>
      </w:r>
    </w:p>
    <w:p>
      <w:pPr>
        <w:spacing w:line="440" w:lineRule="exact"/>
        <w:ind w:firstLine="420" w:firstLineChars="200"/>
        <w:rPr>
          <w:rFonts w:ascii="宋体" w:hAnsi="宋体" w:cs="宋体"/>
          <w:szCs w:val="21"/>
        </w:rPr>
      </w:pPr>
      <w:r>
        <w:rPr>
          <w:rFonts w:hint="eastAsia" w:ascii="宋体" w:hAnsi="宋体" w:cs="宋体"/>
          <w:szCs w:val="21"/>
        </w:rPr>
        <w:t>以破产隔离方式持有是指：当交易对手破产或无力偿还债务时，抵质押物可以免于被强制执行或被法院禁止返还，抵押/出质人可收回抵质押物。以破产隔离方式持有的抵质押物应有独立账户托管。</w:t>
      </w:r>
    </w:p>
    <w:p>
      <w:pPr>
        <w:numPr>
          <w:ilvl w:val="0"/>
          <w:numId w:val="2"/>
        </w:num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应按照双边交易计算对不合格中央交易对手交易风险暴露的风险加权资产。</w:t>
      </w:r>
      <w:r>
        <w:rPr>
          <w:rFonts w:hint="eastAsia"/>
          <w:bCs/>
          <w:szCs w:val="21"/>
        </w:rPr>
        <w:t>填报机构</w:t>
      </w:r>
      <w:r>
        <w:rPr>
          <w:rFonts w:hint="eastAsia" w:ascii="宋体" w:hAnsi="宋体" w:cs="宋体"/>
          <w:szCs w:val="21"/>
        </w:rPr>
        <w:t>应根据信用风险权重法确定不合格中央交易对手的风险权重。</w:t>
      </w:r>
    </w:p>
    <w:p>
      <w:pPr>
        <w:spacing w:line="440" w:lineRule="exact"/>
        <w:ind w:firstLine="420" w:firstLineChars="200"/>
        <w:rPr>
          <w:rFonts w:ascii="宋体" w:hAnsi="宋体" w:cs="宋体"/>
          <w:szCs w:val="21"/>
        </w:rPr>
      </w:pPr>
      <w:r>
        <w:rPr>
          <w:rFonts w:hint="eastAsia" w:ascii="宋体" w:hAnsi="宋体" w:cs="宋体"/>
          <w:szCs w:val="21"/>
        </w:rPr>
        <w:t>2.违约基金风险暴露</w:t>
      </w:r>
    </w:p>
    <w:p>
      <w:pPr>
        <w:spacing w:line="440" w:lineRule="exact"/>
        <w:ind w:firstLine="420" w:firstLineChars="200"/>
        <w:rPr>
          <w:rFonts w:ascii="宋体" w:hAnsi="宋体" w:cs="宋体"/>
          <w:szCs w:val="21"/>
        </w:rPr>
      </w:pPr>
      <w:r>
        <w:rPr>
          <w:rFonts w:hint="eastAsia" w:ascii="宋体" w:hAnsi="宋体" w:cs="宋体"/>
          <w:szCs w:val="21"/>
        </w:rPr>
        <w:t>违约基金可由仅具有结算风险的产品或业务类型（如，股票和债券）与产生交易对手信用风险的产品或业务类型（如，场外衍生工具、交易所交易的衍生工具、证券融资交易以及长期限结算交易）之间共享。如果清算会员缴纳的违约基金已按产品类型隔离，则应分类计量。如果中央交易对手的预缴资源可在产品类型之间共享，则需根据产品的违约风险暴露比例对预缴资源进行分配。清算会员在确定违约基金风险权重时，应考虑如下因素：合格中央交易对手财务资源的规模和质量；中央交易对手的交易对手信风险暴露；当一个或多个清算会员违约时，中央交易对手的违约处置流程。违约基金的资本计提要求应分两步计算：</w:t>
      </w:r>
    </w:p>
    <w:p>
      <w:pPr>
        <w:spacing w:line="440" w:lineRule="exact"/>
        <w:ind w:firstLine="420" w:firstLineChars="200"/>
        <w:rPr>
          <w:rFonts w:ascii="宋体" w:hAnsi="宋体" w:cs="宋体"/>
          <w:szCs w:val="21"/>
        </w:rPr>
      </w:pPr>
      <w:r>
        <w:rPr>
          <w:rFonts w:hint="eastAsia" w:ascii="宋体" w:hAnsi="宋体" w:cs="宋体"/>
          <w:szCs w:val="21"/>
        </w:rPr>
        <w:t>（1）计算中央交易对手对所有清算会员及其客户的交易对手信用风险暴露应计提的虚拟资本要求。公式如下：</w:t>
      </w:r>
    </w:p>
    <w:p>
      <w:pPr>
        <w:jc w:val="center"/>
        <w:rPr>
          <w:rFonts w:ascii="宋体" w:hAnsi="宋体" w:cs="宋体"/>
          <w:szCs w:val="21"/>
        </w:rPr>
      </w:pPr>
      <w:r>
        <w:drawing>
          <wp:inline distT="0" distB="0" distL="114300" distR="114300">
            <wp:extent cx="2068195" cy="374015"/>
            <wp:effectExtent l="0" t="0" r="8255" b="6985"/>
            <wp:docPr id="1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8"/>
                    <pic:cNvPicPr>
                      <a:picLocks noChangeAspect="1"/>
                    </pic:cNvPicPr>
                  </pic:nvPicPr>
                  <pic:blipFill>
                    <a:blip r:embed="rId90"/>
                    <a:stretch>
                      <a:fillRect/>
                    </a:stretch>
                  </pic:blipFill>
                  <pic:spPr>
                    <a:xfrm>
                      <a:off x="0" y="0"/>
                      <a:ext cx="2068195" cy="37401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w:t>
      </w:r>
    </w:p>
    <w:p>
      <w:pPr>
        <w:spacing w:line="440" w:lineRule="exact"/>
        <w:ind w:firstLine="420" w:firstLineChars="200"/>
        <w:rPr>
          <w:rFonts w:ascii="宋体" w:hAnsi="宋体" w:cs="宋体"/>
          <w:szCs w:val="21"/>
        </w:rPr>
      </w:pPr>
      <w:r>
        <w:rPr>
          <w:rFonts w:hint="eastAsia" w:ascii="宋体" w:hAnsi="宋体" w:cs="宋体"/>
          <w:szCs w:val="21"/>
        </w:rPr>
        <w:t>RW（风险权重）为20%；</w:t>
      </w:r>
    </w:p>
    <w:p>
      <w:pPr>
        <w:spacing w:line="440" w:lineRule="exact"/>
        <w:ind w:firstLine="420" w:firstLineChars="200"/>
        <w:rPr>
          <w:rFonts w:ascii="宋体" w:hAnsi="宋体" w:cs="宋体"/>
          <w:szCs w:val="21"/>
        </w:rPr>
      </w:pPr>
      <w:r>
        <w:rPr>
          <w:rFonts w:hint="eastAsia" w:ascii="宋体" w:hAnsi="宋体" w:cs="宋体"/>
          <w:szCs w:val="21"/>
        </w:rPr>
        <w:t>Capital ratio（资本比例）为8%；</w:t>
      </w:r>
    </w:p>
    <w:p>
      <w:pPr>
        <w:spacing w:line="440" w:lineRule="exact"/>
        <w:ind w:firstLine="424" w:firstLineChars="200"/>
        <w:rPr>
          <w:rFonts w:ascii="宋体" w:hAnsi="宋体" w:cs="宋体"/>
          <w:szCs w:val="21"/>
        </w:rPr>
      </w:pPr>
      <w:r>
        <w:rPr>
          <w:rFonts w:hint="eastAsia" w:ascii="宋体" w:hAnsi="宋体" w:cs="宋体"/>
          <w:spacing w:val="1"/>
          <w:position w:val="-12"/>
          <w:szCs w:val="21"/>
        </w:rPr>
        <w:object>
          <v:shape id="_x0000_i1066" o:spt="75" type="#_x0000_t75" style="height:18.6pt;width:30pt;" o:ole="t" filled="f" o:preferrelative="t" stroked="f" coordsize="21600,21600">
            <v:path/>
            <v:fill on="f" focussize="0,0"/>
            <v:stroke on="f" joinstyle="miter"/>
            <v:imagedata r:id="rId92" o:title=""/>
            <o:lock v:ext="edit" aspectratio="t"/>
            <w10:wrap type="none"/>
            <w10:anchorlock/>
          </v:shape>
          <o:OLEObject Type="Embed" ProgID="Equation.3" ShapeID="_x0000_i1066" DrawAspect="Content" ObjectID="_1468075766" r:id="rId91">
            <o:LockedField>false</o:LockedField>
          </o:OLEObject>
        </w:object>
      </w:r>
      <w:r>
        <w:rPr>
          <w:rFonts w:hint="eastAsia" w:ascii="宋体" w:hAnsi="宋体" w:cs="宋体"/>
          <w:szCs w:val="21"/>
        </w:rPr>
        <w:t>是中央交易对手对清算会员“i”的风险暴露，该暴露按照截至监管报告日期的，最后追加变动保证金之前的数额进行估值。该风险暴露包括两部分：（1）清算会员自身的交易及由清算会员担保的客户交易；（2）中央交易对手对在（1）所列示的交易中持有的抵质押品的价值（包括清算会员的预缴资源）。</w:t>
      </w:r>
    </w:p>
    <w:p>
      <w:pPr>
        <w:spacing w:line="440" w:lineRule="exact"/>
        <w:ind w:firstLine="420" w:firstLineChars="200"/>
        <w:rPr>
          <w:rFonts w:ascii="宋体" w:hAnsi="宋体" w:cs="宋体"/>
          <w:szCs w:val="21"/>
        </w:rPr>
      </w:pPr>
      <w:r>
        <w:rPr>
          <w:rFonts w:hint="eastAsia" w:ascii="宋体" w:hAnsi="宋体" w:cs="宋体"/>
          <w:szCs w:val="21"/>
        </w:rPr>
        <w:t>关于该步骤的补充说明如下：</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此公式中计算的</w:t>
      </w:r>
      <w:r>
        <w:rPr>
          <w:rFonts w:hint="eastAsia" w:ascii="宋体" w:hAnsi="宋体" w:cs="宋体"/>
          <w:position w:val="-12"/>
          <w:szCs w:val="21"/>
        </w:rPr>
        <w:object>
          <v:shape id="_x0000_i1067" o:spt="75" type="#_x0000_t75" style="height:18.6pt;width:27.6pt;" o:ole="t" filled="f" o:preferrelative="t" stroked="f" coordsize="21600,21600">
            <v:path/>
            <v:fill on="f" focussize="0,0"/>
            <v:stroke on="f" joinstyle="miter"/>
            <v:imagedata r:id="rId94" o:title=""/>
            <o:lock v:ext="edit" aspectratio="t"/>
            <w10:wrap type="none"/>
            <w10:anchorlock/>
          </v:shape>
          <o:OLEObject Type="Embed" ProgID="Equation.3" ShapeID="_x0000_i1067" DrawAspect="Content" ObjectID="_1468075767" r:id="rId93">
            <o:LockedField>false</o:LockedField>
          </o:OLEObject>
        </w:object>
      </w:r>
      <w:r>
        <w:rPr>
          <w:rFonts w:hint="eastAsia" w:ascii="宋体" w:hAnsi="宋体" w:cs="宋体"/>
          <w:szCs w:val="21"/>
        </w:rPr>
        <w:t>用于确定清算会员违约基金风险暴露需计提的资本，不代表由中央交易对手及其监管部门确定的中央交易对手的实际资本要求。</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RW（风险权重）为20％。国家金融监督管理总局有权根据中央交易对手清算会员的评级等指标，上调风险权重。如发生上调，则相关银行应及时告知完成此计算的相关机构及人员。</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3 \* GB3 \* MERGEFORMAT </w:instrText>
      </w:r>
      <w:r>
        <w:rPr>
          <w:rFonts w:hint="eastAsia" w:ascii="宋体" w:hAnsi="宋体" w:cs="宋体"/>
          <w:szCs w:val="21"/>
        </w:rPr>
        <w:fldChar w:fldCharType="separate"/>
      </w:r>
      <w:r>
        <w:t>③</w:t>
      </w:r>
      <w:r>
        <w:rPr>
          <w:rFonts w:hint="eastAsia" w:ascii="宋体" w:hAnsi="宋体" w:cs="宋体"/>
          <w:szCs w:val="21"/>
        </w:rPr>
        <w:fldChar w:fldCharType="end"/>
      </w:r>
      <w:r>
        <w:rPr>
          <w:rFonts w:hint="eastAsia" w:ascii="宋体" w:hAnsi="宋体" w:cs="宋体"/>
          <w:szCs w:val="21"/>
        </w:rPr>
        <w:t>如果清算会员开展代理客户清算业务，并且客户在清算会员处有代理交易和抵质押品的独立专用子账户，则上述公式中的会员违约风险暴露等于客户子账户违约风险暴露与自营子账户违约风险暴露之和。对于子账户中的衍生工具和证券融资交易需分别按类计量，即子账户的违约风险暴露为衍生工具的违约风险暴露和证券融资交易的违约风险暴露之和。</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4 \* GB3 \* MERGEFORMAT </w:instrText>
      </w:r>
      <w:r>
        <w:rPr>
          <w:rFonts w:hint="eastAsia" w:ascii="宋体" w:hAnsi="宋体" w:cs="宋体"/>
          <w:szCs w:val="21"/>
        </w:rPr>
        <w:fldChar w:fldCharType="separate"/>
      </w:r>
      <w:r>
        <w:t>④</w:t>
      </w:r>
      <w:r>
        <w:rPr>
          <w:rFonts w:hint="eastAsia" w:ascii="宋体" w:hAnsi="宋体" w:cs="宋体"/>
          <w:szCs w:val="21"/>
        </w:rPr>
        <w:fldChar w:fldCharType="end"/>
      </w:r>
      <w:r>
        <w:rPr>
          <w:rFonts w:hint="eastAsia" w:ascii="宋体" w:hAnsi="宋体" w:cs="宋体"/>
          <w:szCs w:val="21"/>
        </w:rPr>
        <w:t>如果抵质押品同时覆盖证券融资交易和衍生工具，则清算会员或客户的预缴初始保证金需区分证券融资交易和衍生工具并按风险暴露比例分配，证券融资交易和除抵质押品外的衍生工具按照《办法》附件9计量规则计算风险暴露。</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5 \* GB3 \* MERGEFORMAT </w:instrText>
      </w:r>
      <w:r>
        <w:rPr>
          <w:rFonts w:hint="eastAsia" w:ascii="宋体" w:hAnsi="宋体" w:cs="宋体"/>
          <w:szCs w:val="21"/>
        </w:rPr>
        <w:fldChar w:fldCharType="separate"/>
      </w:r>
      <w:r>
        <w:t>⑤</w:t>
      </w:r>
      <w:r>
        <w:rPr>
          <w:rFonts w:hint="eastAsia" w:ascii="宋体" w:hAnsi="宋体" w:cs="宋体"/>
          <w:szCs w:val="21"/>
        </w:rPr>
        <w:fldChar w:fldCharType="end"/>
      </w:r>
      <w:r>
        <w:rPr>
          <w:rFonts w:hint="eastAsia" w:ascii="宋体" w:hAnsi="宋体" w:cs="宋体"/>
          <w:szCs w:val="21"/>
        </w:rPr>
        <w:t>如果清算会员缴纳的违约基金不能按照客户子账户和自营子账户区分分配，则应按照子账户的初始保证金相对于清算会员提交的总初始保证金的比例，对每个子账户进行分配。</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6 \* GB3 \* MERGEFORMAT </w:instrText>
      </w:r>
      <w:r>
        <w:rPr>
          <w:rFonts w:hint="eastAsia" w:ascii="宋体" w:hAnsi="宋体" w:cs="宋体"/>
          <w:szCs w:val="21"/>
        </w:rPr>
        <w:fldChar w:fldCharType="separate"/>
      </w:r>
      <w:r>
        <w:t>⑥</w:t>
      </w:r>
      <w:r>
        <w:rPr>
          <w:rFonts w:hint="eastAsia" w:ascii="宋体" w:hAnsi="宋体" w:cs="宋体"/>
          <w:szCs w:val="21"/>
        </w:rPr>
        <w:fldChar w:fldCharType="end"/>
      </w:r>
      <w:r>
        <w:rPr>
          <w:rFonts w:hint="eastAsia" w:ascii="宋体" w:hAnsi="宋体" w:cs="宋体"/>
          <w:szCs w:val="21"/>
        </w:rPr>
        <w:t>对于衍生工具的违约风险暴露，按《办法》附件9计量规则计算风险暴露。计算时：应使用10天的保证金风险期间（MPOR）来计算中央交易对手在衍生工具交易中对清算会员的潜在未来风险暴露。同时，交易数量超过5000笔的净额结算组合的20天的保证金风险期间（MPOR）的底线不适用。若清算会员或客户违约，中央交易对手有权处置其所持有的抵质押品（包括会员缴纳的违约基金），用于抵消中央交易对手对该会员或客户的风险暴露，并按照交易对手信用风险标准法，将其包含在潜在未来风险暴露乘数（PFE multiplier）中。</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7 \* GB3 \* MERGEFORMAT </w:instrText>
      </w:r>
      <w:r>
        <w:rPr>
          <w:rFonts w:hint="eastAsia" w:ascii="宋体" w:hAnsi="宋体" w:cs="宋体"/>
          <w:szCs w:val="21"/>
        </w:rPr>
        <w:fldChar w:fldCharType="separate"/>
      </w:r>
      <w:r>
        <w:t>⑦</w:t>
      </w:r>
      <w:r>
        <w:rPr>
          <w:rFonts w:hint="eastAsia" w:ascii="宋体" w:hAnsi="宋体" w:cs="宋体"/>
          <w:szCs w:val="21"/>
        </w:rPr>
        <w:fldChar w:fldCharType="end"/>
      </w:r>
      <w:r>
        <w:rPr>
          <w:rFonts w:hint="eastAsia" w:ascii="宋体" w:hAnsi="宋体" w:cs="宋体"/>
          <w:szCs w:val="21"/>
        </w:rPr>
        <w:t>证券融资交易的违约风险暴露按</w:t>
      </w:r>
      <w:r>
        <w:drawing>
          <wp:inline distT="0" distB="0" distL="114300" distR="114300">
            <wp:extent cx="1613535" cy="238760"/>
            <wp:effectExtent l="0" t="0" r="5715" b="8890"/>
            <wp:docPr id="1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9"/>
                    <pic:cNvPicPr>
                      <a:picLocks noChangeAspect="1"/>
                    </pic:cNvPicPr>
                  </pic:nvPicPr>
                  <pic:blipFill>
                    <a:blip r:embed="rId95"/>
                    <a:stretch>
                      <a:fillRect/>
                    </a:stretch>
                  </pic:blipFill>
                  <pic:spPr>
                    <a:xfrm>
                      <a:off x="0" y="0"/>
                      <a:ext cx="1613535" cy="238760"/>
                    </a:xfrm>
                    <a:prstGeom prst="rect">
                      <a:avLst/>
                    </a:prstGeom>
                    <a:noFill/>
                    <a:ln>
                      <a:noFill/>
                    </a:ln>
                  </pic:spPr>
                </pic:pic>
              </a:graphicData>
            </a:graphic>
          </wp:inline>
        </w:drawing>
      </w:r>
      <w:r>
        <w:rPr>
          <w:rFonts w:hint="eastAsia" w:ascii="宋体" w:hAnsi="宋体" w:cs="宋体"/>
          <w:szCs w:val="21"/>
        </w:rPr>
        <w:t>计算。其中：</w:t>
      </w:r>
      <w:r>
        <w:rPr>
          <w:rFonts w:hint="eastAsia" w:ascii="宋体" w:hAnsi="宋体" w:cs="宋体"/>
          <w:position w:val="-12"/>
          <w:szCs w:val="21"/>
        </w:rPr>
        <w:object>
          <v:shape id="_x0000_i1068" o:spt="75" type="#_x0000_t75" style="height:18.6pt;width:40.8pt;" o:ole="t" filled="f" o:preferrelative="t" stroked="f" coordsize="21600,21600">
            <v:path/>
            <v:fill on="f" focussize="0,0"/>
            <v:stroke on="f" joinstyle="miter"/>
            <v:imagedata r:id="rId97" o:title=""/>
            <o:lock v:ext="edit" aspectratio="t"/>
            <w10:wrap type="none"/>
            <w10:anchorlock/>
          </v:shape>
          <o:OLEObject Type="Embed" ProgID="Equation.3" ShapeID="_x0000_i1068" DrawAspect="Content" ObjectID="_1468075768" r:id="rId96">
            <o:LockedField>false</o:LockedField>
          </o:OLEObject>
        </w:object>
      </w:r>
      <w:r>
        <w:rPr>
          <w:rFonts w:hint="eastAsia" w:ascii="宋体" w:hAnsi="宋体" w:cs="宋体"/>
          <w:szCs w:val="21"/>
        </w:rPr>
        <w:t>表示对清算会员“i”的风险暴露，按照《办法》附件7第三部分的计量规则计算，追加的变动保证金反映在对各交易的盯市估值中；</w:t>
      </w:r>
      <w:r>
        <w:rPr>
          <w:rFonts w:hint="eastAsia" w:ascii="宋体" w:hAnsi="宋体" w:cs="宋体"/>
          <w:position w:val="-12"/>
          <w:szCs w:val="21"/>
        </w:rPr>
        <w:object>
          <v:shape id="_x0000_i1069" o:spt="75" type="#_x0000_t75" style="height:18.6pt;width:21.6pt;" o:ole="t" filled="f" o:preferrelative="t" stroked="f" coordsize="21600,21600">
            <v:path/>
            <v:fill on="f" focussize="0,0"/>
            <v:stroke on="f" joinstyle="miter"/>
            <v:imagedata r:id="rId99" o:title=""/>
            <o:lock v:ext="edit" aspectratio="t"/>
            <w10:wrap type="none"/>
            <w10:anchorlock/>
          </v:shape>
          <o:OLEObject Type="Embed" ProgID="Equation.3" ShapeID="_x0000_i1069" DrawAspect="Content" ObjectID="_1468075769" r:id="rId98">
            <o:LockedField>false</o:LockedField>
          </o:OLEObject>
        </w:object>
      </w:r>
      <w:r>
        <w:rPr>
          <w:rFonts w:hint="eastAsia" w:ascii="宋体" w:hAnsi="宋体" w:cs="宋体"/>
          <w:szCs w:val="21"/>
        </w:rPr>
        <w:t>是清算会员i缴纳的初始保证金；</w:t>
      </w:r>
      <w:r>
        <w:rPr>
          <w:rFonts w:hint="eastAsia" w:ascii="宋体" w:hAnsi="宋体" w:cs="宋体"/>
          <w:position w:val="-12"/>
          <w:szCs w:val="21"/>
        </w:rPr>
        <w:object>
          <v:shape id="_x0000_i1070" o:spt="75" type="#_x0000_t75" style="height:18.6pt;width:21.6pt;" o:ole="t" filled="f" o:preferrelative="t" stroked="f" coordsize="21600,21600">
            <v:path/>
            <v:fill on="f" focussize="0,0"/>
            <v:stroke on="f" joinstyle="miter"/>
            <v:imagedata r:id="rId101" o:title=""/>
            <o:lock v:ext="edit" aspectratio="t"/>
            <w10:wrap type="none"/>
            <w10:anchorlock/>
          </v:shape>
          <o:OLEObject Type="Embed" ProgID="Equation.3" ShapeID="_x0000_i1070" DrawAspect="Content" ObjectID="_1468075770" r:id="rId100">
            <o:LockedField>false</o:LockedField>
          </o:OLEObject>
        </w:object>
      </w:r>
      <w:r>
        <w:rPr>
          <w:rFonts w:hint="eastAsia" w:ascii="宋体" w:hAnsi="宋体" w:cs="宋体"/>
          <w:szCs w:val="21"/>
        </w:rPr>
        <w:t>是清算会员i缴纳的违约基金；折扣系数和押品剩余期限的计量应符合《办法》附件7信用风险缓释要求。</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8 \* GB3 \* MERGEFORMAT </w:instrText>
      </w:r>
      <w:r>
        <w:rPr>
          <w:rFonts w:hint="eastAsia" w:ascii="宋体" w:hAnsi="宋体" w:cs="宋体"/>
          <w:szCs w:val="21"/>
        </w:rPr>
        <w:fldChar w:fldCharType="separate"/>
      </w:r>
      <w:r>
        <w:t>⑧</w:t>
      </w:r>
      <w:r>
        <w:rPr>
          <w:rFonts w:hint="eastAsia" w:ascii="宋体" w:hAnsi="宋体" w:cs="宋体"/>
          <w:szCs w:val="21"/>
        </w:rPr>
        <w:fldChar w:fldCharType="end"/>
      </w:r>
      <w:r>
        <w:rPr>
          <w:rFonts w:hint="eastAsia" w:ascii="宋体" w:hAnsi="宋体" w:cs="宋体"/>
          <w:szCs w:val="21"/>
        </w:rPr>
        <w:t>应按照中央交易对手与单家清算会员达成的净额结算协议考虑净额结算的作用。国家金融监督管理总局有权要求采用更为细化的净额结算组合。</w:t>
      </w:r>
    </w:p>
    <w:p>
      <w:pPr>
        <w:spacing w:line="440" w:lineRule="exact"/>
        <w:ind w:firstLine="420" w:firstLineChars="200"/>
        <w:rPr>
          <w:rFonts w:ascii="宋体" w:hAnsi="宋体" w:cs="宋体"/>
          <w:szCs w:val="21"/>
        </w:rPr>
      </w:pPr>
      <w:r>
        <w:rPr>
          <w:rFonts w:hint="eastAsia" w:ascii="宋体" w:hAnsi="宋体" w:cs="宋体"/>
          <w:szCs w:val="21"/>
        </w:rPr>
        <w:t>（2）计算每家清算会员的资本要求。在计算每家清算会员违约基金的资本要求时，不考虑已提交的作为违约基金的抵质押品的标准监管折扣。公式如下：</w:t>
      </w:r>
    </w:p>
    <w:p>
      <w:pPr>
        <w:jc w:val="center"/>
        <w:rPr>
          <w:rFonts w:ascii="宋体" w:hAnsi="宋体" w:cs="宋体"/>
          <w:szCs w:val="21"/>
        </w:rPr>
      </w:pPr>
      <w:r>
        <w:drawing>
          <wp:inline distT="0" distB="0" distL="114300" distR="114300">
            <wp:extent cx="3560445" cy="554355"/>
            <wp:effectExtent l="0" t="0" r="1905" b="17145"/>
            <wp:docPr id="1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0"/>
                    <pic:cNvPicPr>
                      <a:picLocks noChangeAspect="1"/>
                    </pic:cNvPicPr>
                  </pic:nvPicPr>
                  <pic:blipFill>
                    <a:blip r:embed="rId102"/>
                    <a:stretch>
                      <a:fillRect/>
                    </a:stretch>
                  </pic:blipFill>
                  <pic:spPr>
                    <a:xfrm>
                      <a:off x="0" y="0"/>
                      <a:ext cx="3560445" cy="55435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 xml:space="preserve">其中， </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1" o:spt="75" type="#_x0000_t75" style="height:18.6pt;width:26.4pt;" o:ole="t" filled="f" o:preferrelative="t" stroked="f" coordsize="21600,21600">
            <v:path/>
            <v:fill on="f" focussize="0,0"/>
            <v:stroke on="f" joinstyle="miter"/>
            <v:imagedata r:id="rId104" o:title=""/>
            <o:lock v:ext="edit" aspectratio="t"/>
            <w10:wrap type="none"/>
            <w10:anchorlock/>
          </v:shape>
          <o:OLEObject Type="Embed" ProgID="Equation.3" ShapeID="_x0000_i1071" DrawAspect="Content" ObjectID="_1468075771" r:id="rId103">
            <o:LockedField>false</o:LockedField>
          </o:OLEObject>
        </w:object>
      </w:r>
      <w:r>
        <w:rPr>
          <w:rFonts w:hint="eastAsia" w:ascii="宋体" w:hAnsi="宋体" w:cs="宋体"/>
          <w:szCs w:val="21"/>
        </w:rPr>
        <w:t>是清算会员i缴纳的违约基金的资本要求；</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2" o:spt="75" type="#_x0000_t75" style="height:18.6pt;width:36.6pt;" o:ole="t" filled="f" o:preferrelative="t" stroked="f" coordsize="21600,21600">
            <v:path/>
            <v:fill on="f" focussize="0,0"/>
            <v:stroke on="f" joinstyle="miter"/>
            <v:imagedata r:id="rId106" o:title=""/>
            <o:lock v:ext="edit" aspectratio="t"/>
            <w10:wrap type="none"/>
            <w10:anchorlock/>
          </v:shape>
          <o:OLEObject Type="Embed" ProgID="Equation.3" ShapeID="_x0000_i1072" DrawAspect="Content" ObjectID="_1468075772" r:id="rId105">
            <o:LockedField>false</o:LockedField>
          </o:OLEObject>
        </w:object>
      </w:r>
      <w:r>
        <w:rPr>
          <w:rFonts w:hint="eastAsia" w:ascii="宋体" w:hAnsi="宋体" w:cs="宋体"/>
          <w:szCs w:val="21"/>
        </w:rPr>
        <w:t>是清算会员预缴资源的总额；</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3" o:spt="75" type="#_x0000_t75" style="height:18.6pt;width:33.6pt;" o:ole="t" filled="f" o:preferrelative="t" stroked="f" coordsize="21600,21600">
            <v:path/>
            <v:fill on="f" focussize="0,0"/>
            <v:stroke on="f" joinstyle="miter"/>
            <v:imagedata r:id="rId108" o:title=""/>
            <o:lock v:ext="edit" aspectratio="t"/>
            <w10:wrap type="none"/>
            <w10:anchorlock/>
          </v:shape>
          <o:OLEObject Type="Embed" ProgID="Equation.3" ShapeID="_x0000_i1073" DrawAspect="Content" ObjectID="_1468075773" r:id="rId107">
            <o:LockedField>false</o:LockedField>
          </o:OLEObject>
        </w:object>
      </w:r>
      <w:r>
        <w:rPr>
          <w:rFonts w:hint="eastAsia" w:ascii="宋体" w:hAnsi="宋体" w:cs="宋体"/>
          <w:szCs w:val="21"/>
        </w:rPr>
        <w:t>是中央交易对手自身财务资源（如实收资本、留存收益等）,这些资源应在清算会员缴纳的违约基金之前或同级用于吸收其损失；</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4" o:spt="75" type="#_x0000_t75" style="height:18.6pt;width:36.6pt;" o:ole="t" filled="f" o:preferrelative="t" stroked="f" coordsize="21600,21600">
            <v:path/>
            <v:fill on="f" focussize="0,0"/>
            <v:stroke on="f" joinstyle="miter"/>
            <v:imagedata r:id="rId110" o:title=""/>
            <o:lock v:ext="edit" aspectratio="t"/>
            <w10:wrap type="none"/>
            <w10:anchorlock/>
          </v:shape>
          <o:OLEObject Type="Embed" ProgID="Equation.3" ShapeID="_x0000_i1074" DrawAspect="Content" ObjectID="_1468075774" r:id="rId109">
            <o:LockedField>false</o:LockedField>
          </o:OLEObject>
        </w:object>
      </w:r>
      <w:r>
        <w:rPr>
          <w:rFonts w:hint="eastAsia" w:ascii="宋体" w:hAnsi="宋体" w:cs="宋体"/>
          <w:szCs w:val="21"/>
        </w:rPr>
        <w:t>是清算会员i的预缴资源；</w:t>
      </w:r>
    </w:p>
    <w:p>
      <w:pPr>
        <w:spacing w:line="440" w:lineRule="exact"/>
        <w:ind w:firstLine="420" w:firstLineChars="200"/>
        <w:rPr>
          <w:rFonts w:ascii="宋体" w:hAnsi="宋体" w:cs="宋体"/>
          <w:szCs w:val="21"/>
        </w:rPr>
      </w:pPr>
      <w:r>
        <w:rPr>
          <w:rFonts w:hint="eastAsia" w:ascii="宋体" w:hAnsi="宋体" w:cs="宋体"/>
          <w:szCs w:val="21"/>
        </w:rPr>
        <w:t>违约基金风险暴露的风险权重底线为2%。</w:t>
      </w:r>
    </w:p>
    <w:p>
      <w:pPr>
        <w:spacing w:line="440" w:lineRule="exact"/>
        <w:ind w:firstLine="420" w:firstLineChars="200"/>
        <w:rPr>
          <w:rFonts w:ascii="宋体" w:hAnsi="宋体" w:cs="宋体"/>
          <w:position w:val="-12"/>
          <w:szCs w:val="21"/>
        </w:rPr>
      </w:pPr>
      <w:r>
        <w:rPr>
          <w:rFonts w:hint="eastAsia" w:ascii="宋体" w:hAnsi="宋体" w:cs="宋体"/>
          <w:szCs w:val="21"/>
        </w:rPr>
        <w:t>填报机构应分别计算各产品违约基金资本要求并加总，可根据各产品的中央交易对手Kccp占比拆分中央交易对手自身财务资源总额，得到每类产品的财务资源</w:t>
      </w:r>
      <w:r>
        <w:rPr>
          <w:rFonts w:hint="eastAsia" w:ascii="宋体" w:hAnsi="宋体" w:cs="宋体"/>
          <w:position w:val="-12"/>
          <w:szCs w:val="21"/>
        </w:rPr>
        <w:object>
          <v:shape id="_x0000_i1075" o:spt="75" type="#_x0000_t75" style="height:18.6pt;width:33.6pt;" o:ole="t" filled="f" o:preferrelative="t" stroked="f" coordsize="21600,21600">
            <v:path/>
            <v:fill on="f" focussize="0,0"/>
            <v:stroke on="f" joinstyle="miter"/>
            <v:imagedata r:id="rId108" o:title=""/>
            <o:lock v:ext="edit" aspectratio="t"/>
            <w10:wrap type="none"/>
            <w10:anchorlock/>
          </v:shape>
          <o:OLEObject Type="Embed" ProgID="Equation.3" ShapeID="_x0000_i1075" DrawAspect="Content" ObjectID="_1468075775" r:id="rId111">
            <o:LockedField>false</o:LockedField>
          </o:OLEObject>
        </w:object>
      </w:r>
      <w:r>
        <w:rPr>
          <w:rFonts w:hint="eastAsia" w:ascii="宋体" w:hAnsi="宋体" w:cs="宋体"/>
          <w:position w:val="-12"/>
          <w:szCs w:val="21"/>
        </w:rPr>
        <w:t>。</w:t>
      </w:r>
    </w:p>
    <w:p>
      <w:pPr>
        <w:spacing w:line="440" w:lineRule="exact"/>
        <w:ind w:firstLine="420" w:firstLineChars="200"/>
        <w:rPr>
          <w:rFonts w:ascii="宋体" w:hAnsi="宋体" w:cs="宋体"/>
          <w:szCs w:val="21"/>
        </w:rPr>
      </w:pPr>
      <w:r>
        <w:rPr>
          <w:rFonts w:hint="eastAsia" w:ascii="宋体" w:hAnsi="宋体" w:cs="宋体"/>
          <w:szCs w:val="21"/>
        </w:rPr>
        <w:t>违约基金风险暴露的风险加权资产等于违约基金资本要求乘以1</w:t>
      </w:r>
      <w:r>
        <w:rPr>
          <w:rFonts w:ascii="宋体" w:hAnsi="宋体" w:cs="宋体"/>
          <w:szCs w:val="21"/>
        </w:rPr>
        <w:t>2.5</w:t>
      </w:r>
      <w:r>
        <w:rPr>
          <w:rFonts w:hint="eastAsia" w:ascii="宋体" w:hAnsi="宋体" w:cs="宋体"/>
          <w:szCs w:val="21"/>
        </w:rPr>
        <w:t>。</w:t>
      </w:r>
    </w:p>
    <w:p>
      <w:pPr>
        <w:tabs>
          <w:tab w:val="left" w:pos="4111"/>
        </w:tabs>
        <w:spacing w:line="440" w:lineRule="exact"/>
        <w:ind w:firstLine="420" w:firstLineChars="200"/>
        <w:rPr>
          <w:rFonts w:ascii="宋体" w:hAnsi="宋体" w:cs="宋体"/>
          <w:szCs w:val="21"/>
        </w:rPr>
      </w:pPr>
      <w:r>
        <w:rPr>
          <w:rFonts w:hint="eastAsia" w:ascii="宋体" w:hAnsi="宋体" w:cs="宋体"/>
          <w:szCs w:val="21"/>
        </w:rPr>
        <w:t>（3）填报机构对不合格中央交易对手违约基金风险暴露的风险权重为1250%。违约基金风险暴露包括已缴纳的违约基金、未缴纳但应中央交易对手要求须缴纳的违约基金。如果</w:t>
      </w:r>
      <w:r>
        <w:rPr>
          <w:rFonts w:hint="eastAsia"/>
          <w:bCs/>
          <w:szCs w:val="21"/>
        </w:rPr>
        <w:t>填报机构</w:t>
      </w:r>
      <w:r>
        <w:rPr>
          <w:rFonts w:hint="eastAsia" w:ascii="宋体" w:hAnsi="宋体" w:cs="宋体"/>
          <w:szCs w:val="21"/>
        </w:rPr>
        <w:t>有未缴纳的违约基金承诺，国家金融监督管理总局有权在监督检查程序评估框架下要求</w:t>
      </w:r>
      <w:r>
        <w:rPr>
          <w:rFonts w:hint="eastAsia"/>
          <w:bCs/>
          <w:szCs w:val="21"/>
        </w:rPr>
        <w:t>填报机构</w:t>
      </w:r>
      <w:r>
        <w:rPr>
          <w:rFonts w:hint="eastAsia" w:ascii="宋体" w:hAnsi="宋体" w:cs="宋体"/>
          <w:szCs w:val="21"/>
        </w:rPr>
        <w:t>按照1250%的风险权重计提资本。</w:t>
      </w:r>
    </w:p>
    <w:p>
      <w:pPr>
        <w:tabs>
          <w:tab w:val="left" w:pos="4111"/>
        </w:tabs>
        <w:spacing w:line="440" w:lineRule="exact"/>
        <w:ind w:firstLine="420" w:firstLineChars="200"/>
        <w:rPr>
          <w:rFonts w:ascii="宋体" w:hAnsi="宋体" w:cs="宋体"/>
          <w:szCs w:val="21"/>
        </w:rPr>
      </w:pPr>
      <w:r>
        <w:rPr>
          <w:rFonts w:hint="eastAsia" w:ascii="宋体" w:hAnsi="宋体" w:cs="宋体"/>
          <w:szCs w:val="21"/>
        </w:rPr>
        <w:t>1.合格中央交易对手部分</w:t>
      </w:r>
    </w:p>
    <w:p>
      <w:pPr>
        <w:spacing w:line="440" w:lineRule="exact"/>
        <w:ind w:firstLine="420" w:firstLineChars="200"/>
        <w:rPr>
          <w:szCs w:val="21"/>
        </w:rPr>
      </w:pPr>
      <w:r>
        <w:rPr>
          <w:szCs w:val="21"/>
        </w:rPr>
        <w:t>[A</w:t>
      </w:r>
      <w:r>
        <w:rPr>
          <w:rFonts w:hint="eastAsia"/>
          <w:szCs w:val="21"/>
        </w:rPr>
        <w:t>中央</w:t>
      </w:r>
      <w:r>
        <w:rPr>
          <w:szCs w:val="21"/>
        </w:rPr>
        <w:t>交易对手]：是指填报机构，按户计算</w:t>
      </w:r>
      <w:r>
        <w:rPr>
          <w:rFonts w:hint="eastAsia"/>
          <w:szCs w:val="21"/>
        </w:rPr>
        <w:t>和填报</w:t>
      </w:r>
      <w:r>
        <w:rPr>
          <w:szCs w:val="21"/>
        </w:rPr>
        <w:t>每个</w:t>
      </w:r>
      <w:r>
        <w:rPr>
          <w:rFonts w:hint="eastAsia"/>
          <w:szCs w:val="21"/>
        </w:rPr>
        <w:t>合格中央</w:t>
      </w:r>
      <w:r>
        <w:rPr>
          <w:szCs w:val="21"/>
        </w:rPr>
        <w:t>交易对手的全称。</w:t>
      </w:r>
    </w:p>
    <w:p>
      <w:pPr>
        <w:spacing w:line="440" w:lineRule="exact"/>
        <w:ind w:firstLine="420" w:firstLineChars="200"/>
        <w:rPr>
          <w:szCs w:val="21"/>
        </w:rPr>
      </w:pPr>
      <w:r>
        <w:rPr>
          <w:szCs w:val="21"/>
        </w:rPr>
        <w:t>[B</w:t>
      </w:r>
      <w:r>
        <w:rPr>
          <w:rFonts w:hint="eastAsia"/>
          <w:szCs w:val="21"/>
        </w:rPr>
        <w:t>风险权重</w:t>
      </w:r>
      <w:r>
        <w:rPr>
          <w:szCs w:val="21"/>
        </w:rPr>
        <w:t>]：是</w:t>
      </w:r>
      <w:r>
        <w:rPr>
          <w:rFonts w:hint="eastAsia"/>
          <w:szCs w:val="21"/>
        </w:rPr>
        <w:t>[A中央交易对手]对应</w:t>
      </w:r>
      <w:r>
        <w:rPr>
          <w:szCs w:val="21"/>
        </w:rPr>
        <w:t>的风险权重。</w:t>
      </w:r>
    </w:p>
    <w:p>
      <w:pPr>
        <w:spacing w:line="440" w:lineRule="exact"/>
        <w:ind w:firstLine="420" w:firstLineChars="200"/>
        <w:rPr>
          <w:szCs w:val="21"/>
        </w:rPr>
      </w:pPr>
      <w:r>
        <w:rPr>
          <w:rFonts w:hint="eastAsia"/>
          <w:szCs w:val="21"/>
        </w:rPr>
        <w:t>[C名义本金/缓释前风险暴露]：对于与中央交易对手交易的衍生产品填报名义本金，对于与中央交易对手交易的证券融资交易填报缓释前风险暴露。</w:t>
      </w:r>
    </w:p>
    <w:p>
      <w:pPr>
        <w:spacing w:line="440" w:lineRule="exact"/>
        <w:ind w:firstLine="420" w:firstLineChars="200"/>
        <w:rPr>
          <w:szCs w:val="21"/>
        </w:rPr>
      </w:pPr>
      <w:r>
        <w:rPr>
          <w:rFonts w:hint="eastAsia"/>
          <w:szCs w:val="21"/>
        </w:rPr>
        <w:t>[D交易风险暴露]：对于与中央交易对手交易的衍生产品和证券融资交易，填报对应的风险暴露。衍生产品和证券融资交易的交易风险敞口的计量分别与其非中央交易对手风险敞口计量方法相同。</w:t>
      </w:r>
    </w:p>
    <w:p>
      <w:pPr>
        <w:spacing w:line="440" w:lineRule="exact"/>
        <w:ind w:firstLine="420" w:firstLineChars="200"/>
        <w:rPr>
          <w:szCs w:val="21"/>
        </w:rPr>
      </w:pPr>
      <w:r>
        <w:rPr>
          <w:rFonts w:hint="eastAsia"/>
          <w:szCs w:val="21"/>
        </w:rPr>
        <w:t>[E违约基金风险暴露]：向合格中央交易对手交纳的违约基金数额。</w:t>
      </w:r>
    </w:p>
    <w:p>
      <w:pPr>
        <w:spacing w:line="440" w:lineRule="exact"/>
        <w:ind w:firstLine="420" w:firstLineChars="200"/>
        <w:rPr>
          <w:rFonts w:ascii="宋体" w:hAnsi="宋体" w:cs="宋体"/>
          <w:szCs w:val="21"/>
        </w:rPr>
      </w:pPr>
      <w:r>
        <w:rPr>
          <w:rFonts w:hint="eastAsia"/>
          <w:szCs w:val="21"/>
        </w:rPr>
        <w:t>[F对中央交易对手违约基金风险资本(Kccp)]：</w:t>
      </w:r>
      <w:r>
        <w:rPr>
          <w:rFonts w:hint="eastAsia" w:ascii="宋体" w:hAnsi="宋体" w:cs="宋体"/>
          <w:szCs w:val="21"/>
        </w:rPr>
        <w:t>取对应合格中央交易对手报告期披露的违约基金风险资本。</w:t>
      </w:r>
    </w:p>
    <w:p>
      <w:pPr>
        <w:spacing w:line="440" w:lineRule="exact"/>
        <w:ind w:firstLine="420" w:firstLineChars="200"/>
        <w:rPr>
          <w:szCs w:val="21"/>
        </w:rPr>
      </w:pPr>
      <w:r>
        <w:rPr>
          <w:szCs w:val="21"/>
        </w:rPr>
        <w:t>[</w:t>
      </w:r>
      <w:r>
        <w:rPr>
          <w:rFonts w:hint="eastAsia"/>
          <w:szCs w:val="21"/>
        </w:rPr>
        <w:t>G</w:t>
      </w:r>
      <w:r>
        <w:rPr>
          <w:rFonts w:hint="eastAsia" w:ascii="宋体" w:hAnsi="宋体" w:cs="宋体"/>
          <w:szCs w:val="21"/>
        </w:rPr>
        <w:t>清算会员的违约基金风险资本</w:t>
      </w:r>
      <w:r>
        <w:rPr>
          <w:szCs w:val="21"/>
        </w:rPr>
        <w:t>(Kcm)]</w:t>
      </w:r>
      <w:r>
        <w:rPr>
          <w:rFonts w:hint="eastAsia" w:ascii="宋体" w:hAnsi="宋体" w:cs="宋体"/>
          <w:szCs w:val="21"/>
        </w:rPr>
        <w:t>：计算清算会员的资本要求。如果清算会员缴纳的违约基金已按产品类型隔离，则应分类计量。具体计量见上述公式</w:t>
      </w:r>
      <w:r>
        <w:rPr>
          <w:rFonts w:hint="eastAsia"/>
          <w:szCs w:val="21"/>
        </w:rPr>
        <w:t>Kcm。</w:t>
      </w:r>
    </w:p>
    <w:p>
      <w:pPr>
        <w:spacing w:line="440" w:lineRule="exact"/>
        <w:ind w:firstLine="420" w:firstLineChars="200"/>
        <w:rPr>
          <w:szCs w:val="21"/>
        </w:rPr>
      </w:pPr>
      <w:r>
        <w:rPr>
          <w:szCs w:val="21"/>
        </w:rPr>
        <w:t>[</w:t>
      </w:r>
      <w:r>
        <w:rPr>
          <w:rFonts w:hint="eastAsia"/>
          <w:szCs w:val="21"/>
        </w:rPr>
        <w:t>H</w:t>
      </w:r>
      <w:r>
        <w:rPr>
          <w:szCs w:val="21"/>
        </w:rPr>
        <w:t>风险加权资产]：是指填报机构</w:t>
      </w:r>
      <w:r>
        <w:rPr>
          <w:rFonts w:hint="eastAsia"/>
          <w:szCs w:val="21"/>
        </w:rPr>
        <w:t>合格中央交易对手</w:t>
      </w:r>
      <w:r>
        <w:rPr>
          <w:szCs w:val="21"/>
        </w:rPr>
        <w:t>的风险加权资产。</w:t>
      </w:r>
      <w:r>
        <w:rPr>
          <w:rFonts w:hint="eastAsia"/>
          <w:szCs w:val="21"/>
        </w:rPr>
        <w:t>包括两部分：一是交易风险暴露乘以对应的中央交易对手权重，二是清算会员违约基金风</w:t>
      </w:r>
      <w:r>
        <w:rPr>
          <w:rFonts w:hint="eastAsia" w:ascii="宋体" w:hAnsi="宋体" w:cs="宋体"/>
          <w:szCs w:val="21"/>
        </w:rPr>
        <w:t>险。商业银行对合格中央交易对手风险暴露资本要求的上限为不合格中央交易对手所有风险暴露的资本计提要求。</w:t>
      </w:r>
      <w:r>
        <w:rPr>
          <w:szCs w:val="21"/>
        </w:rPr>
        <w:t>[</w:t>
      </w:r>
      <w:r>
        <w:rPr>
          <w:rFonts w:hint="eastAsia"/>
          <w:szCs w:val="21"/>
        </w:rPr>
        <w:t>H</w:t>
      </w:r>
      <w:r>
        <w:rPr>
          <w:szCs w:val="21"/>
        </w:rPr>
        <w:t xml:space="preserve">风险加权资产]= </w:t>
      </w:r>
      <w:r>
        <w:rPr>
          <w:rFonts w:hint="eastAsia"/>
          <w:szCs w:val="21"/>
        </w:rPr>
        <w:t>min{(</w:t>
      </w:r>
      <w:r>
        <w:rPr>
          <w:szCs w:val="21"/>
        </w:rPr>
        <w:t>[</w:t>
      </w:r>
      <w:r>
        <w:rPr>
          <w:rFonts w:hint="eastAsia"/>
          <w:szCs w:val="21"/>
        </w:rPr>
        <w:t>D交易</w:t>
      </w:r>
      <w:r>
        <w:rPr>
          <w:szCs w:val="21"/>
        </w:rPr>
        <w:t>风险暴露]×[</w:t>
      </w:r>
      <w:r>
        <w:rPr>
          <w:rFonts w:hint="eastAsia"/>
          <w:szCs w:val="21"/>
        </w:rPr>
        <w:t>B</w:t>
      </w:r>
      <w:r>
        <w:rPr>
          <w:szCs w:val="21"/>
        </w:rPr>
        <w:t>风险权重]</w:t>
      </w:r>
      <w:r>
        <w:rPr>
          <w:rFonts w:hint="eastAsia"/>
          <w:szCs w:val="21"/>
        </w:rPr>
        <w:t>+</w:t>
      </w:r>
      <w:r>
        <w:rPr>
          <w:szCs w:val="21"/>
        </w:rPr>
        <w:t>[</w:t>
      </w:r>
      <w:r>
        <w:rPr>
          <w:rFonts w:hint="eastAsia"/>
          <w:szCs w:val="21"/>
        </w:rPr>
        <w:t>G</w:t>
      </w:r>
      <w:r>
        <w:rPr>
          <w:rFonts w:hint="eastAsia" w:ascii="宋体" w:hAnsi="宋体" w:cs="宋体"/>
          <w:szCs w:val="21"/>
        </w:rPr>
        <w:t>清算会员的违约基金风险资本</w:t>
      </w:r>
      <w:r>
        <w:rPr>
          <w:szCs w:val="21"/>
        </w:rPr>
        <w:t>(Kcm)]×</w:t>
      </w:r>
      <w:r>
        <w:rPr>
          <w:rFonts w:hint="eastAsia"/>
          <w:szCs w:val="21"/>
        </w:rPr>
        <w:t>12.5),(</w:t>
      </w:r>
      <w:r>
        <w:rPr>
          <w:szCs w:val="21"/>
        </w:rPr>
        <w:t>[</w:t>
      </w:r>
      <w:r>
        <w:rPr>
          <w:rFonts w:hint="eastAsia"/>
          <w:szCs w:val="21"/>
        </w:rPr>
        <w:t>D交易</w:t>
      </w:r>
      <w:r>
        <w:rPr>
          <w:szCs w:val="21"/>
        </w:rPr>
        <w:t>风险暴露]×</w:t>
      </w:r>
      <w:r>
        <w:rPr>
          <w:rFonts w:hint="eastAsia"/>
          <w:szCs w:val="21"/>
        </w:rPr>
        <w:t>100%</w:t>
      </w:r>
      <w:r>
        <w:rPr>
          <w:szCs w:val="21"/>
        </w:rPr>
        <w:t>+[E</w:t>
      </w:r>
      <w:r>
        <w:rPr>
          <w:rFonts w:hint="eastAsia"/>
          <w:szCs w:val="21"/>
        </w:rPr>
        <w:t>违约基金风险暴露</w:t>
      </w:r>
      <w:r>
        <w:rPr>
          <w:szCs w:val="21"/>
        </w:rPr>
        <w:t>] ×</w:t>
      </w:r>
      <w:r>
        <w:rPr>
          <w:rFonts w:hint="eastAsia"/>
          <w:szCs w:val="21"/>
        </w:rPr>
        <w:t>12.5)}</w:t>
      </w:r>
      <w:r>
        <w:rPr>
          <w:szCs w:val="21"/>
        </w:rPr>
        <w:t>。</w:t>
      </w:r>
    </w:p>
    <w:p>
      <w:pPr>
        <w:tabs>
          <w:tab w:val="left" w:pos="4111"/>
        </w:tabs>
        <w:spacing w:line="440" w:lineRule="exact"/>
        <w:ind w:firstLine="420" w:firstLineChars="200"/>
        <w:rPr>
          <w:rFonts w:ascii="宋体" w:hAnsi="宋体" w:cs="宋体"/>
          <w:szCs w:val="21"/>
        </w:rPr>
      </w:pPr>
      <w:r>
        <w:rPr>
          <w:rFonts w:ascii="宋体" w:hAnsi="宋体" w:cs="宋体"/>
          <w:szCs w:val="21"/>
        </w:rPr>
        <w:t>2</w:t>
      </w:r>
      <w:r>
        <w:rPr>
          <w:rFonts w:hint="eastAsia" w:ascii="宋体" w:hAnsi="宋体" w:cs="宋体"/>
          <w:szCs w:val="21"/>
        </w:rPr>
        <w:t>.不合格中央交易对手部分</w:t>
      </w:r>
    </w:p>
    <w:p>
      <w:pPr>
        <w:spacing w:line="440" w:lineRule="exact"/>
        <w:ind w:firstLine="420" w:firstLineChars="200"/>
        <w:rPr>
          <w:szCs w:val="21"/>
        </w:rPr>
      </w:pPr>
      <w:r>
        <w:rPr>
          <w:szCs w:val="21"/>
        </w:rPr>
        <w:t>[A</w:t>
      </w:r>
      <w:r>
        <w:rPr>
          <w:rFonts w:hint="eastAsia"/>
          <w:szCs w:val="21"/>
        </w:rPr>
        <w:t>中央</w:t>
      </w:r>
      <w:r>
        <w:rPr>
          <w:szCs w:val="21"/>
        </w:rPr>
        <w:t>交易对手]：是指填报机构，按户计算</w:t>
      </w:r>
      <w:r>
        <w:rPr>
          <w:rFonts w:hint="eastAsia"/>
          <w:szCs w:val="21"/>
        </w:rPr>
        <w:t>和填报</w:t>
      </w:r>
      <w:r>
        <w:rPr>
          <w:szCs w:val="21"/>
        </w:rPr>
        <w:t>每个</w:t>
      </w:r>
      <w:r>
        <w:rPr>
          <w:rFonts w:hint="eastAsia"/>
          <w:szCs w:val="21"/>
        </w:rPr>
        <w:t>不合格中央</w:t>
      </w:r>
      <w:r>
        <w:rPr>
          <w:szCs w:val="21"/>
        </w:rPr>
        <w:t>交易对手的全称。</w:t>
      </w:r>
    </w:p>
    <w:p>
      <w:pPr>
        <w:spacing w:line="440" w:lineRule="exact"/>
        <w:ind w:firstLine="420" w:firstLineChars="200"/>
        <w:rPr>
          <w:szCs w:val="21"/>
        </w:rPr>
      </w:pPr>
      <w:r>
        <w:rPr>
          <w:szCs w:val="21"/>
        </w:rPr>
        <w:t>[B</w:t>
      </w:r>
      <w:r>
        <w:rPr>
          <w:rFonts w:hint="eastAsia"/>
          <w:szCs w:val="21"/>
        </w:rPr>
        <w:t>风险权重</w:t>
      </w:r>
      <w:r>
        <w:rPr>
          <w:szCs w:val="21"/>
        </w:rPr>
        <w:t>]：是</w:t>
      </w:r>
      <w:r>
        <w:rPr>
          <w:rFonts w:hint="eastAsia"/>
          <w:szCs w:val="21"/>
        </w:rPr>
        <w:t>[A中央交易对手]对应</w:t>
      </w:r>
      <w:r>
        <w:rPr>
          <w:szCs w:val="21"/>
        </w:rPr>
        <w:t>的风险权重。</w:t>
      </w:r>
    </w:p>
    <w:p>
      <w:pPr>
        <w:spacing w:line="440" w:lineRule="exact"/>
        <w:ind w:firstLine="420" w:firstLineChars="200"/>
        <w:rPr>
          <w:szCs w:val="21"/>
        </w:rPr>
      </w:pPr>
      <w:r>
        <w:rPr>
          <w:rFonts w:hint="eastAsia"/>
          <w:szCs w:val="21"/>
        </w:rPr>
        <w:t>[C名义本金/缓释前风险暴露]：对于与中央交易对手交易的衍生产品填报名义本金，对于与中央交易对手交易的证券融资交易填报缓释前风险暴露。</w:t>
      </w:r>
    </w:p>
    <w:p>
      <w:pPr>
        <w:spacing w:line="440" w:lineRule="exact"/>
        <w:ind w:firstLine="420" w:firstLineChars="200"/>
        <w:rPr>
          <w:szCs w:val="21"/>
        </w:rPr>
      </w:pPr>
      <w:r>
        <w:rPr>
          <w:rFonts w:hint="eastAsia"/>
          <w:szCs w:val="21"/>
        </w:rPr>
        <w:t>[D交易风险暴露]：对于与中央交易对手交易的衍生产品和证券融资交易，填报对应的风险暴露。衍生产品和证券融资交易的交易风险敞口的计量分别与其非中央交易对手风险敞口计量方法相同。</w:t>
      </w:r>
    </w:p>
    <w:p>
      <w:pPr>
        <w:spacing w:line="440" w:lineRule="exact"/>
        <w:ind w:firstLine="420" w:firstLineChars="200"/>
        <w:rPr>
          <w:szCs w:val="21"/>
        </w:rPr>
      </w:pPr>
      <w:r>
        <w:rPr>
          <w:rFonts w:hint="eastAsia"/>
          <w:szCs w:val="21"/>
        </w:rPr>
        <w:t>[E违约基金风险暴露]：向不合格中央交易对手交纳的违约基金数额。</w:t>
      </w:r>
    </w:p>
    <w:p>
      <w:pPr>
        <w:spacing w:line="440" w:lineRule="exact"/>
        <w:ind w:firstLine="420" w:firstLineChars="200"/>
        <w:rPr>
          <w:szCs w:val="21"/>
        </w:rPr>
      </w:pPr>
      <w:r>
        <w:rPr>
          <w:szCs w:val="21"/>
        </w:rPr>
        <w:t>[F风险加权资产]：是指填报机构</w:t>
      </w:r>
      <w:r>
        <w:rPr>
          <w:rFonts w:hint="eastAsia"/>
          <w:szCs w:val="21"/>
        </w:rPr>
        <w:t>不合格中央交易对手</w:t>
      </w:r>
      <w:r>
        <w:rPr>
          <w:szCs w:val="21"/>
        </w:rPr>
        <w:t>的风险加权资产。</w:t>
      </w:r>
      <w:r>
        <w:rPr>
          <w:rFonts w:hint="eastAsia"/>
          <w:szCs w:val="21"/>
        </w:rPr>
        <w:t>包括两部分：一是交易风险暴露乘以对应的中央交易对手权重，二是清算会员违约基金风</w:t>
      </w:r>
      <w:r>
        <w:rPr>
          <w:rFonts w:hint="eastAsia" w:ascii="宋体" w:hAnsi="宋体" w:cs="宋体"/>
          <w:szCs w:val="21"/>
        </w:rPr>
        <w:t>险。</w:t>
      </w:r>
      <w:r>
        <w:rPr>
          <w:szCs w:val="21"/>
        </w:rPr>
        <w:t xml:space="preserve"> [F风险加权资产]=[</w:t>
      </w:r>
      <w:r>
        <w:rPr>
          <w:rFonts w:hint="eastAsia"/>
          <w:szCs w:val="21"/>
        </w:rPr>
        <w:t>D交易</w:t>
      </w:r>
      <w:r>
        <w:rPr>
          <w:szCs w:val="21"/>
        </w:rPr>
        <w:t>风险暴露]×[</w:t>
      </w:r>
      <w:r>
        <w:rPr>
          <w:rFonts w:hint="eastAsia"/>
          <w:szCs w:val="21"/>
        </w:rPr>
        <w:t>B</w:t>
      </w:r>
      <w:r>
        <w:rPr>
          <w:szCs w:val="21"/>
        </w:rPr>
        <w:t>风险权重] +[E</w:t>
      </w:r>
      <w:r>
        <w:rPr>
          <w:rFonts w:hint="eastAsia"/>
          <w:szCs w:val="21"/>
        </w:rPr>
        <w:t>违约基金风险暴露</w:t>
      </w:r>
      <w:r>
        <w:rPr>
          <w:szCs w:val="21"/>
        </w:rPr>
        <w:t>] ×</w:t>
      </w:r>
      <w:r>
        <w:rPr>
          <w:rFonts w:hint="eastAsia"/>
          <w:szCs w:val="21"/>
        </w:rPr>
        <w:t>12.5</w:t>
      </w:r>
      <w:r>
        <w:rPr>
          <w:szCs w:val="21"/>
        </w:rPr>
        <w:t>。</w:t>
      </w:r>
    </w:p>
    <w:p>
      <w:pPr>
        <w:spacing w:line="440" w:lineRule="exact"/>
        <w:rPr>
          <w:b/>
          <w:szCs w:val="21"/>
        </w:rPr>
      </w:pPr>
      <w:r>
        <w:rPr>
          <w:rFonts w:hint="eastAsia"/>
          <w:b/>
          <w:szCs w:val="21"/>
        </w:rPr>
        <w:t>第四部分：其他说明</w:t>
      </w:r>
    </w:p>
    <w:p>
      <w:pPr>
        <w:spacing w:line="440" w:lineRule="exact"/>
        <w:ind w:firstLine="420" w:firstLineChars="200"/>
        <w:rPr>
          <w:b/>
          <w:szCs w:val="21"/>
        </w:rPr>
      </w:pPr>
      <w:r>
        <w:rPr>
          <w:rFonts w:hint="eastAsia" w:ascii="宋体" w:hAnsi="宋体"/>
          <w:color w:val="0D0D0D"/>
          <w:szCs w:val="21"/>
        </w:rPr>
        <w:t>除第二部分规定的折算汇率计算方法外，填报机构也可选取报告期末某一固定时点的市场实际交易价格作为折算汇率。</w:t>
      </w:r>
    </w:p>
    <w:p>
      <w:pPr>
        <w:spacing w:line="440" w:lineRule="exact"/>
        <w:rPr>
          <w:b/>
          <w:bCs/>
          <w:szCs w:val="21"/>
        </w:rPr>
      </w:pPr>
      <w:r>
        <w:rPr>
          <w:b/>
          <w:bCs/>
          <w:szCs w:val="21"/>
        </w:rPr>
        <w:t>第</w:t>
      </w:r>
      <w:r>
        <w:rPr>
          <w:rFonts w:hint="eastAsia"/>
          <w:b/>
          <w:bCs/>
          <w:szCs w:val="21"/>
        </w:rPr>
        <w:t>五</w:t>
      </w:r>
      <w:r>
        <w:rPr>
          <w:b/>
          <w:bCs/>
          <w:szCs w:val="21"/>
        </w:rPr>
        <w:t>部分：核对关系</w:t>
      </w:r>
    </w:p>
    <w:p>
      <w:pPr>
        <w:spacing w:line="440" w:lineRule="exact"/>
        <w:ind w:firstLine="413" w:firstLineChars="196"/>
        <w:rPr>
          <w:b/>
        </w:rPr>
      </w:pPr>
      <w:r>
        <w:rPr>
          <w:rFonts w:hint="eastAsia"/>
          <w:b/>
        </w:rPr>
        <w:t>1</w:t>
      </w:r>
      <w:r>
        <w:rPr>
          <w:b/>
        </w:rPr>
        <w:t>.</w:t>
      </w:r>
      <w:r>
        <w:rPr>
          <w:rFonts w:hint="eastAsia"/>
          <w:b/>
        </w:rPr>
        <w:t>表内核对关系</w:t>
      </w:r>
    </w:p>
    <w:p>
      <w:pPr>
        <w:spacing w:line="440" w:lineRule="exact"/>
        <w:ind w:firstLine="413" w:firstLineChars="196"/>
        <w:rPr>
          <w:b/>
        </w:rPr>
      </w:pPr>
      <w:r>
        <w:rPr>
          <w:b/>
        </w:rPr>
        <w:t>第Ⅱ部分：</w:t>
      </w:r>
      <w:r>
        <w:rPr>
          <w:rFonts w:hint="eastAsia"/>
          <w:b/>
        </w:rPr>
        <w:t>中央</w:t>
      </w:r>
      <w:r>
        <w:rPr>
          <w:b/>
        </w:rPr>
        <w:t>交易</w:t>
      </w:r>
      <w:r>
        <w:rPr>
          <w:rFonts w:hint="eastAsia"/>
          <w:b/>
        </w:rPr>
        <w:t>对手</w:t>
      </w:r>
      <w:r>
        <w:rPr>
          <w:b/>
        </w:rPr>
        <w:t>表</w:t>
      </w:r>
    </w:p>
    <w:p>
      <w:pPr>
        <w:spacing w:line="440" w:lineRule="exact"/>
        <w:ind w:firstLine="411" w:firstLineChars="196"/>
      </w:pPr>
      <w:r>
        <w:rPr>
          <w:rFonts w:hint="eastAsia"/>
        </w:rPr>
        <w:t>（1）合格中央交易对手部分</w:t>
      </w:r>
    </w:p>
    <w:p>
      <w:pPr>
        <w:spacing w:line="440" w:lineRule="exact"/>
        <w:ind w:firstLine="411" w:firstLineChars="196"/>
        <w:rPr>
          <w:szCs w:val="21"/>
        </w:rPr>
      </w:pPr>
      <w:r>
        <w:t>[</w:t>
      </w:r>
      <w:r>
        <w:rPr>
          <w:rFonts w:hint="eastAsia"/>
        </w:rPr>
        <w:t>H</w:t>
      </w:r>
      <w:r>
        <w:t>]=</w:t>
      </w:r>
      <w:r>
        <w:rPr>
          <w:rFonts w:hint="eastAsia"/>
        </w:rPr>
        <w:t>min{(</w:t>
      </w:r>
      <w:r>
        <w:t>[</w:t>
      </w:r>
      <w:r>
        <w:rPr>
          <w:rFonts w:hint="eastAsia"/>
        </w:rPr>
        <w:t>D</w:t>
      </w:r>
      <w:r>
        <w:t>]</w:t>
      </w:r>
      <w:r>
        <w:rPr>
          <w:szCs w:val="21"/>
        </w:rPr>
        <w:t>×[</w:t>
      </w:r>
      <w:r>
        <w:rPr>
          <w:rFonts w:hint="eastAsia"/>
          <w:szCs w:val="21"/>
        </w:rPr>
        <w:t>B</w:t>
      </w:r>
      <w:r>
        <w:rPr>
          <w:szCs w:val="21"/>
        </w:rPr>
        <w:t>]</w:t>
      </w:r>
      <w:r>
        <w:rPr>
          <w:rFonts w:hint="eastAsia"/>
          <w:szCs w:val="21"/>
        </w:rPr>
        <w:t>+[G]</w:t>
      </w:r>
      <w:r>
        <w:rPr>
          <w:szCs w:val="21"/>
        </w:rPr>
        <w:t>×</w:t>
      </w:r>
      <w:r>
        <w:rPr>
          <w:rFonts w:hint="eastAsia"/>
          <w:szCs w:val="21"/>
        </w:rPr>
        <w:t>12.5)，([D]</w:t>
      </w:r>
      <w:r>
        <w:rPr>
          <w:szCs w:val="21"/>
        </w:rPr>
        <w:t>×</w:t>
      </w:r>
      <w:r>
        <w:rPr>
          <w:rFonts w:hint="eastAsia"/>
          <w:szCs w:val="21"/>
        </w:rPr>
        <w:t>100%+[E]</w:t>
      </w:r>
      <w:r>
        <w:rPr>
          <w:szCs w:val="21"/>
        </w:rPr>
        <w:t>×</w:t>
      </w:r>
      <w:r>
        <w:rPr>
          <w:rFonts w:hint="eastAsia"/>
          <w:szCs w:val="21"/>
        </w:rPr>
        <w:t>12.5</w:t>
      </w:r>
      <w:r>
        <w:rPr>
          <w:szCs w:val="21"/>
        </w:rPr>
        <w:t>)</w:t>
      </w:r>
      <w:r>
        <w:rPr>
          <w:rFonts w:hint="eastAsia"/>
          <w:szCs w:val="21"/>
        </w:rPr>
        <w:t>}，适用1</w:t>
      </w:r>
      <w:r>
        <w:rPr>
          <w:szCs w:val="21"/>
        </w:rPr>
        <w:t>~</w:t>
      </w:r>
      <w:r>
        <w:rPr>
          <w:rFonts w:hint="eastAsia"/>
          <w:szCs w:val="21"/>
        </w:rPr>
        <w:t>n行</w:t>
      </w:r>
    </w:p>
    <w:p>
      <w:pPr>
        <w:spacing w:line="440" w:lineRule="exact"/>
        <w:ind w:firstLine="411" w:firstLineChars="196"/>
        <w:rPr>
          <w:rFonts w:ascii="宋体" w:hAnsi="宋体"/>
          <w:szCs w:val="21"/>
        </w:rPr>
      </w:pPr>
      <w:r>
        <w:rPr>
          <w:rFonts w:hint="eastAsia"/>
          <w:szCs w:val="21"/>
        </w:rPr>
        <w:t>合计</w:t>
      </w:r>
      <w:r>
        <w:rPr>
          <w:rFonts w:hint="eastAsia" w:ascii="宋体" w:hAnsi="宋体"/>
          <w:szCs w:val="21"/>
        </w:rPr>
        <w:t>=∑1+2+···+n，适用于C、D、E、F、G、H列</w:t>
      </w:r>
    </w:p>
    <w:p>
      <w:pPr>
        <w:spacing w:line="440" w:lineRule="exact"/>
        <w:ind w:firstLine="411" w:firstLineChars="196"/>
      </w:pPr>
      <w:r>
        <w:rPr>
          <w:rFonts w:hint="eastAsia"/>
        </w:rPr>
        <w:t>（2）不合格中央交易对手部分</w:t>
      </w:r>
    </w:p>
    <w:p>
      <w:pPr>
        <w:spacing w:line="440" w:lineRule="exact"/>
        <w:ind w:firstLine="411" w:firstLineChars="196"/>
        <w:rPr>
          <w:szCs w:val="21"/>
        </w:rPr>
      </w:pPr>
      <w:r>
        <w:t>[F]=[</w:t>
      </w:r>
      <w:r>
        <w:rPr>
          <w:rFonts w:hint="eastAsia"/>
        </w:rPr>
        <w:t>D</w:t>
      </w:r>
      <w:r>
        <w:t>]</w:t>
      </w:r>
      <w:r>
        <w:rPr>
          <w:szCs w:val="21"/>
        </w:rPr>
        <w:t>×[</w:t>
      </w:r>
      <w:r>
        <w:rPr>
          <w:rFonts w:hint="eastAsia"/>
          <w:szCs w:val="21"/>
        </w:rPr>
        <w:t>B</w:t>
      </w:r>
      <w:r>
        <w:rPr>
          <w:szCs w:val="21"/>
        </w:rPr>
        <w:t>]</w:t>
      </w:r>
      <w:r>
        <w:rPr>
          <w:rFonts w:hint="eastAsia"/>
          <w:szCs w:val="21"/>
        </w:rPr>
        <w:t>+[E]</w:t>
      </w:r>
      <w:r>
        <w:rPr>
          <w:szCs w:val="21"/>
        </w:rPr>
        <w:t>×</w:t>
      </w:r>
      <w:r>
        <w:rPr>
          <w:rFonts w:hint="eastAsia"/>
          <w:szCs w:val="21"/>
        </w:rPr>
        <w:t>12.5，适用1</w:t>
      </w:r>
      <w:r>
        <w:rPr>
          <w:szCs w:val="21"/>
        </w:rPr>
        <w:t>~</w:t>
      </w:r>
      <w:r>
        <w:rPr>
          <w:rFonts w:hint="eastAsia"/>
          <w:szCs w:val="21"/>
        </w:rPr>
        <w:t>n行</w:t>
      </w:r>
    </w:p>
    <w:p>
      <w:pPr>
        <w:spacing w:line="440" w:lineRule="exact"/>
        <w:ind w:firstLine="411" w:firstLineChars="196"/>
        <w:rPr>
          <w:rFonts w:ascii="宋体" w:hAnsi="宋体"/>
          <w:szCs w:val="21"/>
        </w:rPr>
      </w:pPr>
      <w:r>
        <w:rPr>
          <w:rFonts w:hint="eastAsia"/>
          <w:szCs w:val="21"/>
        </w:rPr>
        <w:t>合计</w:t>
      </w:r>
      <w:r>
        <w:rPr>
          <w:rFonts w:hint="eastAsia" w:ascii="宋体" w:hAnsi="宋体"/>
          <w:szCs w:val="21"/>
        </w:rPr>
        <w:t>=∑1+2+···+n，适用于C、D、E、F列</w:t>
      </w:r>
    </w:p>
    <w:p>
      <w:pPr>
        <w:pStyle w:val="47"/>
        <w:spacing w:line="440" w:lineRule="exact"/>
        <w:jc w:val="both"/>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仿宋_GB2312">
    <w:panose1 w:val="02010609030101010101"/>
    <w:charset w:val="86"/>
    <w:family w:val="modern"/>
    <w:pitch w:val="default"/>
    <w:sig w:usb0="00000001" w:usb1="080E0000" w:usb2="00000000" w:usb3="00000000" w:csb0="00040000" w:csb1="00000000"/>
  </w:font>
  <w:font w:name="Verdana">
    <w:altName w:val="DejaVu Sans"/>
    <w:panose1 w:val="020B0604030504040204"/>
    <w:charset w:val="00"/>
    <w:family w:val="swiss"/>
    <w:pitch w:val="default"/>
    <w:sig w:usb0="00000000" w:usb1="00000000" w:usb2="00000010" w:usb3="00000000" w:csb0="0000019F" w:csb1="00000000"/>
  </w:font>
  <w:font w:name="MS Mincho">
    <w:altName w:val="宋体"/>
    <w:panose1 w:val="02020609040205080304"/>
    <w:charset w:val="80"/>
    <w:family w:val="modern"/>
    <w:pitch w:val="default"/>
    <w:sig w:usb0="00000000" w:usb1="00000000" w:usb2="08000012" w:usb3="00000000" w:csb0="0002009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center" w:y="1"/>
      <w:rPr>
        <w:rStyle w:val="23"/>
      </w:rPr>
    </w:pPr>
    <w:r>
      <w:fldChar w:fldCharType="begin"/>
    </w:r>
    <w:r>
      <w:rPr>
        <w:rStyle w:val="23"/>
      </w:rPr>
      <w:instrText xml:space="preserve">PAGE  </w:instrText>
    </w:r>
    <w:r>
      <w:fldChar w:fldCharType="separate"/>
    </w:r>
    <w:r>
      <w:rPr>
        <w:rStyle w:val="23"/>
      </w:rPr>
      <w:t>1</w:t>
    </w:r>
    <w:r>
      <w:fldChar w:fldCharType="end"/>
    </w:r>
  </w:p>
  <w:p>
    <w:pPr>
      <w:pStyle w:val="1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DE254"/>
    <w:multiLevelType w:val="singleLevel"/>
    <w:tmpl w:val="834DE254"/>
    <w:lvl w:ilvl="0" w:tentative="0">
      <w:start w:val="5"/>
      <w:numFmt w:val="decimal"/>
      <w:suff w:val="nothing"/>
      <w:lvlText w:val="（%1）"/>
      <w:lvlJc w:val="left"/>
    </w:lvl>
  </w:abstractNum>
  <w:abstractNum w:abstractNumId="1">
    <w:nsid w:val="678C1B32"/>
    <w:multiLevelType w:val="singleLevel"/>
    <w:tmpl w:val="678C1B3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F00ECD"/>
    <w:rsid w:val="000011DD"/>
    <w:rsid w:val="00021CAB"/>
    <w:rsid w:val="00045D87"/>
    <w:rsid w:val="00050145"/>
    <w:rsid w:val="00064EBE"/>
    <w:rsid w:val="00083CF0"/>
    <w:rsid w:val="000B4044"/>
    <w:rsid w:val="000B6778"/>
    <w:rsid w:val="000C2556"/>
    <w:rsid w:val="00113D42"/>
    <w:rsid w:val="00126EC9"/>
    <w:rsid w:val="00170C13"/>
    <w:rsid w:val="001A64CF"/>
    <w:rsid w:val="001A7953"/>
    <w:rsid w:val="001B27FD"/>
    <w:rsid w:val="001C3178"/>
    <w:rsid w:val="001E7340"/>
    <w:rsid w:val="001F04B4"/>
    <w:rsid w:val="001F418D"/>
    <w:rsid w:val="00232531"/>
    <w:rsid w:val="00261E17"/>
    <w:rsid w:val="00263DCB"/>
    <w:rsid w:val="00276D52"/>
    <w:rsid w:val="00295255"/>
    <w:rsid w:val="002C1E5F"/>
    <w:rsid w:val="002F3DF3"/>
    <w:rsid w:val="00306F97"/>
    <w:rsid w:val="003267C7"/>
    <w:rsid w:val="00337A69"/>
    <w:rsid w:val="0039335D"/>
    <w:rsid w:val="00396612"/>
    <w:rsid w:val="003967BC"/>
    <w:rsid w:val="003C34CF"/>
    <w:rsid w:val="003F16AF"/>
    <w:rsid w:val="004A6D89"/>
    <w:rsid w:val="004C3B74"/>
    <w:rsid w:val="00510F09"/>
    <w:rsid w:val="00537CAB"/>
    <w:rsid w:val="00572248"/>
    <w:rsid w:val="005A5258"/>
    <w:rsid w:val="005B4A3D"/>
    <w:rsid w:val="005C04F3"/>
    <w:rsid w:val="005E18F5"/>
    <w:rsid w:val="005E270A"/>
    <w:rsid w:val="00603A58"/>
    <w:rsid w:val="00655484"/>
    <w:rsid w:val="0069106B"/>
    <w:rsid w:val="0069736E"/>
    <w:rsid w:val="006A4C91"/>
    <w:rsid w:val="006B3797"/>
    <w:rsid w:val="006B794C"/>
    <w:rsid w:val="0072536D"/>
    <w:rsid w:val="007628EF"/>
    <w:rsid w:val="0079476F"/>
    <w:rsid w:val="007B2E78"/>
    <w:rsid w:val="007D01A4"/>
    <w:rsid w:val="007D3FED"/>
    <w:rsid w:val="007E0471"/>
    <w:rsid w:val="00865D0F"/>
    <w:rsid w:val="00870A3D"/>
    <w:rsid w:val="00872DF7"/>
    <w:rsid w:val="00874471"/>
    <w:rsid w:val="008A1CCC"/>
    <w:rsid w:val="00932125"/>
    <w:rsid w:val="00936AC6"/>
    <w:rsid w:val="00964372"/>
    <w:rsid w:val="00973E36"/>
    <w:rsid w:val="009A4250"/>
    <w:rsid w:val="009C65FC"/>
    <w:rsid w:val="009C764F"/>
    <w:rsid w:val="009C7A01"/>
    <w:rsid w:val="009E1B6C"/>
    <w:rsid w:val="00A15628"/>
    <w:rsid w:val="00A326DA"/>
    <w:rsid w:val="00A331BC"/>
    <w:rsid w:val="00A65FE9"/>
    <w:rsid w:val="00A85020"/>
    <w:rsid w:val="00AA5C56"/>
    <w:rsid w:val="00AC4F57"/>
    <w:rsid w:val="00AC5802"/>
    <w:rsid w:val="00B03FC1"/>
    <w:rsid w:val="00B36E11"/>
    <w:rsid w:val="00B96E9A"/>
    <w:rsid w:val="00BB44E7"/>
    <w:rsid w:val="00BD4AA3"/>
    <w:rsid w:val="00BF53A7"/>
    <w:rsid w:val="00C63756"/>
    <w:rsid w:val="00C706E9"/>
    <w:rsid w:val="00C86AAF"/>
    <w:rsid w:val="00CA070A"/>
    <w:rsid w:val="00CA54DC"/>
    <w:rsid w:val="00CC0B9E"/>
    <w:rsid w:val="00CC2708"/>
    <w:rsid w:val="00D00F1E"/>
    <w:rsid w:val="00D03E98"/>
    <w:rsid w:val="00D05E01"/>
    <w:rsid w:val="00D30F3F"/>
    <w:rsid w:val="00D63BB4"/>
    <w:rsid w:val="00D73FF9"/>
    <w:rsid w:val="00D7752B"/>
    <w:rsid w:val="00D9027F"/>
    <w:rsid w:val="00DC50FA"/>
    <w:rsid w:val="00E21796"/>
    <w:rsid w:val="00E31BB0"/>
    <w:rsid w:val="00E4195B"/>
    <w:rsid w:val="00E41BF5"/>
    <w:rsid w:val="00E513BC"/>
    <w:rsid w:val="00E830E0"/>
    <w:rsid w:val="00E85198"/>
    <w:rsid w:val="00E96C8F"/>
    <w:rsid w:val="00EA0465"/>
    <w:rsid w:val="00EF7C1C"/>
    <w:rsid w:val="00F0093F"/>
    <w:rsid w:val="00F00ECD"/>
    <w:rsid w:val="00F019DE"/>
    <w:rsid w:val="00F05BEC"/>
    <w:rsid w:val="00F079E1"/>
    <w:rsid w:val="00FD2BC6"/>
    <w:rsid w:val="00FF6B06"/>
    <w:rsid w:val="0A3C1171"/>
    <w:rsid w:val="0C261885"/>
    <w:rsid w:val="0E4F4BCE"/>
    <w:rsid w:val="10052D34"/>
    <w:rsid w:val="111D3928"/>
    <w:rsid w:val="12951342"/>
    <w:rsid w:val="14E8688E"/>
    <w:rsid w:val="1D0F4C10"/>
    <w:rsid w:val="1D92348D"/>
    <w:rsid w:val="2102354C"/>
    <w:rsid w:val="2D24531B"/>
    <w:rsid w:val="2F1A13C2"/>
    <w:rsid w:val="35372CF2"/>
    <w:rsid w:val="36C90821"/>
    <w:rsid w:val="38CC27A1"/>
    <w:rsid w:val="39503781"/>
    <w:rsid w:val="3A1D1F65"/>
    <w:rsid w:val="3D24232A"/>
    <w:rsid w:val="3E9420ED"/>
    <w:rsid w:val="444A2F5B"/>
    <w:rsid w:val="44DB0EDA"/>
    <w:rsid w:val="473D2E15"/>
    <w:rsid w:val="47A2091E"/>
    <w:rsid w:val="48C930F1"/>
    <w:rsid w:val="4B6A2227"/>
    <w:rsid w:val="4BC12E34"/>
    <w:rsid w:val="4BF93B19"/>
    <w:rsid w:val="4C0D6701"/>
    <w:rsid w:val="4CBB1C2D"/>
    <w:rsid w:val="4D594EDB"/>
    <w:rsid w:val="4D8D22EB"/>
    <w:rsid w:val="52436765"/>
    <w:rsid w:val="532D027C"/>
    <w:rsid w:val="54D9773D"/>
    <w:rsid w:val="56BB5497"/>
    <w:rsid w:val="5BD64473"/>
    <w:rsid w:val="5E4E4057"/>
    <w:rsid w:val="5FC046C3"/>
    <w:rsid w:val="5FE91E2C"/>
    <w:rsid w:val="639065C3"/>
    <w:rsid w:val="66BA4D90"/>
    <w:rsid w:val="67F64880"/>
    <w:rsid w:val="696727DD"/>
    <w:rsid w:val="6A621040"/>
    <w:rsid w:val="6A7A47AC"/>
    <w:rsid w:val="6D227869"/>
    <w:rsid w:val="6F908A9F"/>
    <w:rsid w:val="709B2F2E"/>
    <w:rsid w:val="72C83435"/>
    <w:rsid w:val="74B656C4"/>
    <w:rsid w:val="75443BA9"/>
    <w:rsid w:val="772B12C0"/>
    <w:rsid w:val="78383007"/>
    <w:rsid w:val="7A6F101C"/>
    <w:rsid w:val="7BF976E0"/>
    <w:rsid w:val="7C28779E"/>
    <w:rsid w:val="7E5A773B"/>
    <w:rsid w:val="7EE74B0E"/>
    <w:rsid w:val="7EFF7085"/>
    <w:rsid w:val="7F3E286F"/>
    <w:rsid w:val="7F91101B"/>
    <w:rsid w:val="7F9E0E25"/>
    <w:rsid w:val="7FDB66C0"/>
    <w:rsid w:val="DAF9F9A0"/>
    <w:rsid w:val="DEDCA1F4"/>
    <w:rsid w:val="E4FB9705"/>
    <w:rsid w:val="EBFFB21F"/>
    <w:rsid w:val="FBFE97CD"/>
    <w:rsid w:val="FEEE8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sz w:val="30"/>
      <w:szCs w:val="20"/>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3"/>
    <w:next w:val="5"/>
    <w:link w:val="25"/>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27"/>
    <w:qFormat/>
    <w:uiPriority w:val="0"/>
    <w:pPr>
      <w:spacing w:before="120"/>
      <w:outlineLvl w:val="3"/>
    </w:pPr>
  </w:style>
  <w:style w:type="paragraph" w:styleId="7">
    <w:name w:val="heading 5"/>
    <w:basedOn w:val="6"/>
    <w:next w:val="5"/>
    <w:link w:val="28"/>
    <w:qFormat/>
    <w:uiPriority w:val="0"/>
    <w:pPr>
      <w:outlineLvl w:val="4"/>
    </w:pPr>
  </w:style>
  <w:style w:type="paragraph" w:styleId="8">
    <w:name w:val="heading 6"/>
    <w:basedOn w:val="7"/>
    <w:next w:val="5"/>
    <w:link w:val="29"/>
    <w:qFormat/>
    <w:uiPriority w:val="0"/>
    <w:pPr>
      <w:outlineLvl w:val="5"/>
    </w:pPr>
  </w:style>
  <w:style w:type="paragraph" w:styleId="9">
    <w:name w:val="heading 7"/>
    <w:basedOn w:val="8"/>
    <w:next w:val="5"/>
    <w:link w:val="30"/>
    <w:qFormat/>
    <w:uiPriority w:val="0"/>
    <w:pPr>
      <w:outlineLvl w:val="6"/>
    </w:pPr>
  </w:style>
  <w:style w:type="paragraph" w:styleId="10">
    <w:name w:val="heading 8"/>
    <w:basedOn w:val="9"/>
    <w:next w:val="5"/>
    <w:link w:val="31"/>
    <w:qFormat/>
    <w:uiPriority w:val="0"/>
    <w:pPr>
      <w:outlineLvl w:val="7"/>
    </w:pPr>
  </w:style>
  <w:style w:type="paragraph" w:styleId="11">
    <w:name w:val="heading 9"/>
    <w:basedOn w:val="10"/>
    <w:next w:val="5"/>
    <w:link w:val="32"/>
    <w:qFormat/>
    <w:uiPriority w:val="0"/>
    <w:pPr>
      <w:outlineLvl w:val="8"/>
    </w:p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26"/>
    <w:qFormat/>
    <w:uiPriority w:val="0"/>
    <w:pPr>
      <w:widowControl/>
      <w:spacing w:after="240"/>
    </w:pPr>
    <w:rPr>
      <w:rFonts w:ascii="Arial" w:hAnsi="Arial"/>
      <w:kern w:val="0"/>
      <w:sz w:val="22"/>
      <w:szCs w:val="20"/>
      <w:lang w:val="en-GB" w:eastAsia="en-US"/>
    </w:rPr>
  </w:style>
  <w:style w:type="paragraph" w:styleId="12">
    <w:name w:val="annotation text"/>
    <w:basedOn w:val="1"/>
    <w:link w:val="33"/>
    <w:semiHidden/>
    <w:qFormat/>
    <w:uiPriority w:val="0"/>
    <w:pPr>
      <w:jc w:val="left"/>
    </w:pPr>
  </w:style>
  <w:style w:type="paragraph" w:styleId="13">
    <w:name w:val="Body Text"/>
    <w:basedOn w:val="1"/>
    <w:link w:val="34"/>
    <w:qFormat/>
    <w:uiPriority w:val="0"/>
    <w:pPr>
      <w:widowControl/>
      <w:spacing w:after="120"/>
      <w:jc w:val="left"/>
    </w:pPr>
    <w:rPr>
      <w:kern w:val="0"/>
      <w:sz w:val="20"/>
      <w:szCs w:val="20"/>
      <w:lang w:val="en-GB" w:eastAsia="en-US"/>
    </w:rPr>
  </w:style>
  <w:style w:type="paragraph" w:styleId="14">
    <w:name w:val="Plain Text"/>
    <w:basedOn w:val="1"/>
    <w:link w:val="35"/>
    <w:qFormat/>
    <w:uiPriority w:val="0"/>
    <w:pPr>
      <w:widowControl/>
      <w:jc w:val="left"/>
    </w:pPr>
    <w:rPr>
      <w:rFonts w:ascii="Consolas" w:hAnsi="Consolas"/>
      <w:kern w:val="0"/>
      <w:szCs w:val="21"/>
      <w:lang w:eastAsia="en-US"/>
    </w:rPr>
  </w:style>
  <w:style w:type="paragraph" w:styleId="15">
    <w:name w:val="Balloon Text"/>
    <w:basedOn w:val="1"/>
    <w:semiHidden/>
    <w:qFormat/>
    <w:uiPriority w:val="0"/>
    <w:rPr>
      <w:sz w:val="18"/>
      <w:szCs w:val="18"/>
    </w:rPr>
  </w:style>
  <w:style w:type="paragraph" w:styleId="16">
    <w:name w:val="footer"/>
    <w:basedOn w:val="1"/>
    <w:link w:val="36"/>
    <w:qFormat/>
    <w:uiPriority w:val="0"/>
    <w:pPr>
      <w:tabs>
        <w:tab w:val="center" w:pos="4153"/>
        <w:tab w:val="right" w:pos="8306"/>
      </w:tabs>
      <w:snapToGrid w:val="0"/>
      <w:jc w:val="left"/>
    </w:pPr>
    <w:rPr>
      <w:sz w:val="18"/>
      <w:szCs w:val="18"/>
    </w:rPr>
  </w:style>
  <w:style w:type="paragraph" w:styleId="17">
    <w:name w:val="header"/>
    <w:basedOn w:val="1"/>
    <w:link w:val="37"/>
    <w:qFormat/>
    <w:uiPriority w:val="0"/>
    <w:pPr>
      <w:pBdr>
        <w:bottom w:val="single" w:color="auto" w:sz="6" w:space="1"/>
      </w:pBdr>
      <w:tabs>
        <w:tab w:val="center" w:pos="4153"/>
        <w:tab w:val="right" w:pos="8306"/>
      </w:tabs>
      <w:snapToGrid w:val="0"/>
      <w:jc w:val="center"/>
    </w:pPr>
    <w:rPr>
      <w:sz w:val="18"/>
      <w:szCs w:val="18"/>
    </w:rPr>
  </w:style>
  <w:style w:type="paragraph" w:styleId="18">
    <w:name w:val="footnote text"/>
    <w:basedOn w:val="1"/>
    <w:link w:val="38"/>
    <w:qFormat/>
    <w:uiPriority w:val="0"/>
    <w:pPr>
      <w:widowControl/>
      <w:spacing w:after="120"/>
      <w:ind w:left="284" w:hanging="284"/>
    </w:pPr>
    <w:rPr>
      <w:rFonts w:ascii="Arial" w:hAnsi="Arial"/>
      <w:kern w:val="0"/>
      <w:sz w:val="18"/>
      <w:szCs w:val="20"/>
      <w:lang w:val="en-GB" w:eastAsia="en-US"/>
    </w:rPr>
  </w:style>
  <w:style w:type="paragraph" w:styleId="19">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20">
    <w:name w:val="Title"/>
    <w:basedOn w:val="1"/>
    <w:link w:val="39"/>
    <w:qFormat/>
    <w:uiPriority w:val="0"/>
    <w:pPr>
      <w:widowControl/>
      <w:spacing w:line="360" w:lineRule="auto"/>
      <w:jc w:val="center"/>
    </w:pPr>
    <w:rPr>
      <w:rFonts w:ascii="Arial" w:hAnsi="Arial"/>
      <w:b/>
      <w:kern w:val="0"/>
      <w:sz w:val="28"/>
      <w:szCs w:val="20"/>
      <w:lang w:val="de-DE" w:eastAsia="en-GB"/>
    </w:rPr>
  </w:style>
  <w:style w:type="character" w:styleId="23">
    <w:name w:val="page number"/>
    <w:qFormat/>
    <w:uiPriority w:val="0"/>
    <w:rPr>
      <w:rFonts w:ascii="Arial" w:hAnsi="Arial"/>
      <w:sz w:val="20"/>
    </w:rPr>
  </w:style>
  <w:style w:type="character" w:customStyle="1" w:styleId="24">
    <w:name w:val="标题 2 字符"/>
    <w:link w:val="3"/>
    <w:qFormat/>
    <w:uiPriority w:val="0"/>
    <w:rPr>
      <w:rFonts w:ascii="Arial" w:hAnsi="Arial" w:eastAsia="黑体"/>
      <w:b/>
      <w:bCs/>
      <w:kern w:val="2"/>
      <w:sz w:val="32"/>
      <w:szCs w:val="32"/>
      <w:lang w:val="en-US" w:eastAsia="zh-CN" w:bidi="ar-SA"/>
    </w:rPr>
  </w:style>
  <w:style w:type="character" w:customStyle="1" w:styleId="25">
    <w:name w:val="标题 3 字符"/>
    <w:link w:val="4"/>
    <w:qFormat/>
    <w:uiPriority w:val="0"/>
    <w:rPr>
      <w:rFonts w:ascii="Arial" w:hAnsi="Arial" w:eastAsia="宋体"/>
      <w:b/>
      <w:i/>
      <w:kern w:val="2"/>
      <w:sz w:val="22"/>
      <w:lang w:val="en-GB" w:eastAsia="en-US" w:bidi="ar-SA"/>
    </w:rPr>
  </w:style>
  <w:style w:type="character" w:customStyle="1" w:styleId="26">
    <w:name w:val="Paragraph Char"/>
    <w:link w:val="5"/>
    <w:qFormat/>
    <w:uiPriority w:val="0"/>
    <w:rPr>
      <w:rFonts w:ascii="Arial" w:hAnsi="Arial" w:eastAsia="宋体"/>
      <w:sz w:val="22"/>
      <w:lang w:val="en-GB" w:eastAsia="en-US" w:bidi="ar-SA"/>
    </w:rPr>
  </w:style>
  <w:style w:type="character" w:customStyle="1" w:styleId="27">
    <w:name w:val="标题 4 字符"/>
    <w:link w:val="6"/>
    <w:qFormat/>
    <w:uiPriority w:val="0"/>
    <w:rPr>
      <w:rFonts w:ascii="Arial" w:hAnsi="Arial" w:eastAsia="宋体"/>
      <w:b/>
      <w:i/>
      <w:kern w:val="2"/>
      <w:sz w:val="22"/>
      <w:lang w:val="en-GB" w:eastAsia="en-US" w:bidi="ar-SA"/>
    </w:rPr>
  </w:style>
  <w:style w:type="character" w:customStyle="1" w:styleId="28">
    <w:name w:val="标题 5 字符"/>
    <w:link w:val="7"/>
    <w:qFormat/>
    <w:uiPriority w:val="0"/>
    <w:rPr>
      <w:rFonts w:ascii="Arial" w:hAnsi="Arial" w:eastAsia="宋体"/>
      <w:b/>
      <w:i/>
      <w:kern w:val="2"/>
      <w:sz w:val="22"/>
      <w:lang w:val="en-GB" w:eastAsia="en-US" w:bidi="ar-SA"/>
    </w:rPr>
  </w:style>
  <w:style w:type="character" w:customStyle="1" w:styleId="29">
    <w:name w:val="标题 6 字符"/>
    <w:link w:val="8"/>
    <w:qFormat/>
    <w:uiPriority w:val="0"/>
    <w:rPr>
      <w:rFonts w:ascii="Arial" w:hAnsi="Arial" w:eastAsia="宋体"/>
      <w:b/>
      <w:i/>
      <w:kern w:val="2"/>
      <w:sz w:val="22"/>
      <w:lang w:val="en-GB" w:eastAsia="en-US" w:bidi="ar-SA"/>
    </w:rPr>
  </w:style>
  <w:style w:type="character" w:customStyle="1" w:styleId="30">
    <w:name w:val="标题 7 字符"/>
    <w:link w:val="9"/>
    <w:qFormat/>
    <w:uiPriority w:val="0"/>
    <w:rPr>
      <w:rFonts w:ascii="Arial" w:hAnsi="Arial" w:eastAsia="宋体"/>
      <w:b/>
      <w:i/>
      <w:kern w:val="2"/>
      <w:sz w:val="22"/>
      <w:lang w:val="en-GB" w:eastAsia="en-US" w:bidi="ar-SA"/>
    </w:rPr>
  </w:style>
  <w:style w:type="character" w:customStyle="1" w:styleId="31">
    <w:name w:val="标题 8 字符"/>
    <w:link w:val="10"/>
    <w:qFormat/>
    <w:uiPriority w:val="0"/>
    <w:rPr>
      <w:rFonts w:ascii="Arial" w:hAnsi="Arial" w:eastAsia="宋体"/>
      <w:b/>
      <w:i/>
      <w:kern w:val="2"/>
      <w:sz w:val="22"/>
      <w:lang w:val="en-GB" w:eastAsia="en-US" w:bidi="ar-SA"/>
    </w:rPr>
  </w:style>
  <w:style w:type="character" w:customStyle="1" w:styleId="32">
    <w:name w:val="标题 9 字符"/>
    <w:link w:val="11"/>
    <w:qFormat/>
    <w:uiPriority w:val="0"/>
    <w:rPr>
      <w:rFonts w:ascii="Arial" w:hAnsi="Arial" w:eastAsia="宋体"/>
      <w:b/>
      <w:i/>
      <w:kern w:val="2"/>
      <w:sz w:val="22"/>
      <w:lang w:val="en-GB" w:eastAsia="en-US" w:bidi="ar-SA"/>
    </w:rPr>
  </w:style>
  <w:style w:type="character" w:customStyle="1" w:styleId="33">
    <w:name w:val="批注文字 字符"/>
    <w:link w:val="12"/>
    <w:qFormat/>
    <w:uiPriority w:val="0"/>
    <w:rPr>
      <w:rFonts w:eastAsia="宋体"/>
      <w:kern w:val="2"/>
      <w:sz w:val="21"/>
      <w:szCs w:val="24"/>
      <w:lang w:val="en-US" w:eastAsia="zh-CN" w:bidi="ar-SA"/>
    </w:rPr>
  </w:style>
  <w:style w:type="character" w:customStyle="1" w:styleId="34">
    <w:name w:val="正文文本 字符"/>
    <w:link w:val="13"/>
    <w:qFormat/>
    <w:uiPriority w:val="0"/>
    <w:rPr>
      <w:rFonts w:eastAsia="宋体"/>
      <w:lang w:val="en-GB" w:eastAsia="en-US" w:bidi="ar-SA"/>
    </w:rPr>
  </w:style>
  <w:style w:type="character" w:customStyle="1" w:styleId="35">
    <w:name w:val="纯文本 字符"/>
    <w:link w:val="14"/>
    <w:qFormat/>
    <w:uiPriority w:val="0"/>
    <w:rPr>
      <w:rFonts w:ascii="Consolas" w:hAnsi="Consolas" w:eastAsia="宋体"/>
      <w:sz w:val="21"/>
      <w:szCs w:val="21"/>
      <w:lang w:val="en-US" w:eastAsia="en-US" w:bidi="ar-SA"/>
    </w:rPr>
  </w:style>
  <w:style w:type="character" w:customStyle="1" w:styleId="36">
    <w:name w:val="页脚 字符"/>
    <w:link w:val="16"/>
    <w:qFormat/>
    <w:uiPriority w:val="0"/>
    <w:rPr>
      <w:rFonts w:eastAsia="宋体"/>
      <w:kern w:val="2"/>
      <w:sz w:val="18"/>
      <w:szCs w:val="18"/>
      <w:lang w:val="en-US" w:eastAsia="zh-CN" w:bidi="ar-SA"/>
    </w:rPr>
  </w:style>
  <w:style w:type="character" w:customStyle="1" w:styleId="37">
    <w:name w:val="页眉 字符"/>
    <w:link w:val="17"/>
    <w:qFormat/>
    <w:uiPriority w:val="0"/>
    <w:rPr>
      <w:rFonts w:eastAsia="宋体"/>
      <w:kern w:val="2"/>
      <w:sz w:val="18"/>
      <w:szCs w:val="18"/>
      <w:lang w:val="en-US" w:eastAsia="zh-CN" w:bidi="ar-SA"/>
    </w:rPr>
  </w:style>
  <w:style w:type="character" w:customStyle="1" w:styleId="38">
    <w:name w:val="脚注文本 字符"/>
    <w:link w:val="18"/>
    <w:qFormat/>
    <w:uiPriority w:val="0"/>
    <w:rPr>
      <w:rFonts w:ascii="Arial" w:hAnsi="Arial" w:eastAsia="宋体"/>
      <w:sz w:val="18"/>
      <w:lang w:val="en-GB" w:eastAsia="en-US" w:bidi="ar-SA"/>
    </w:rPr>
  </w:style>
  <w:style w:type="character" w:customStyle="1" w:styleId="39">
    <w:name w:val="标题 字符"/>
    <w:link w:val="20"/>
    <w:qFormat/>
    <w:uiPriority w:val="0"/>
    <w:rPr>
      <w:rFonts w:ascii="Arial" w:hAnsi="Arial" w:eastAsia="宋体"/>
      <w:b/>
      <w:sz w:val="28"/>
      <w:lang w:val="de-DE" w:eastAsia="en-GB" w:bidi="ar-SA"/>
    </w:rPr>
  </w:style>
  <w:style w:type="paragraph" w:customStyle="1" w:styleId="40">
    <w:name w:val="_Style 11"/>
    <w:basedOn w:val="1"/>
    <w:qFormat/>
    <w:uiPriority w:val="0"/>
    <w:pPr>
      <w:widowControl/>
      <w:spacing w:after="160" w:line="240" w:lineRule="exact"/>
      <w:jc w:val="left"/>
    </w:pPr>
    <w:rPr>
      <w:rFonts w:ascii="Verdana" w:hAnsi="Verdana" w:cs="Verdana"/>
      <w:kern w:val="0"/>
      <w:sz w:val="20"/>
      <w:szCs w:val="20"/>
      <w:lang w:eastAsia="en-US"/>
    </w:rPr>
  </w:style>
  <w:style w:type="character" w:customStyle="1" w:styleId="41">
    <w:name w:val="Bullets Char"/>
    <w:link w:val="42"/>
    <w:qFormat/>
    <w:uiPriority w:val="0"/>
    <w:rPr>
      <w:rFonts w:ascii="Arial" w:hAnsi="Arial" w:eastAsia="MS Mincho"/>
      <w:sz w:val="22"/>
      <w:lang w:val="en-GB" w:eastAsia="ja-JP" w:bidi="ar-SA"/>
    </w:rPr>
  </w:style>
  <w:style w:type="paragraph" w:customStyle="1" w:styleId="42">
    <w:name w:val="Bullets"/>
    <w:basedOn w:val="1"/>
    <w:link w:val="41"/>
    <w:qFormat/>
    <w:uiPriority w:val="0"/>
    <w:pPr>
      <w:widowControl/>
      <w:spacing w:after="120"/>
      <w:ind w:left="720" w:hanging="360"/>
    </w:pPr>
    <w:rPr>
      <w:rFonts w:ascii="Arial" w:hAnsi="Arial" w:eastAsia="MS Mincho"/>
      <w:kern w:val="0"/>
      <w:sz w:val="22"/>
      <w:szCs w:val="20"/>
      <w:lang w:val="en-GB" w:eastAsia="ja-JP"/>
    </w:rPr>
  </w:style>
  <w:style w:type="character" w:customStyle="1" w:styleId="43">
    <w:name w:val="Paragraph Char Char Char Char Char1"/>
    <w:link w:val="44"/>
    <w:qFormat/>
    <w:uiPriority w:val="0"/>
    <w:rPr>
      <w:rFonts w:ascii="Arial" w:hAnsi="Arial" w:eastAsia="宋体"/>
      <w:sz w:val="22"/>
      <w:lang w:val="en-GB" w:eastAsia="en-US" w:bidi="ar-SA"/>
    </w:rPr>
  </w:style>
  <w:style w:type="paragraph" w:customStyle="1" w:styleId="44">
    <w:name w:val="Paragraph Char Char Char Char"/>
    <w:basedOn w:val="1"/>
    <w:link w:val="43"/>
    <w:qFormat/>
    <w:uiPriority w:val="0"/>
    <w:pPr>
      <w:widowControl/>
      <w:spacing w:after="240"/>
    </w:pPr>
    <w:rPr>
      <w:rFonts w:ascii="Arial" w:hAnsi="Arial"/>
      <w:kern w:val="0"/>
      <w:sz w:val="22"/>
      <w:szCs w:val="20"/>
      <w:lang w:val="en-GB" w:eastAsia="en-US"/>
    </w:rPr>
  </w:style>
  <w:style w:type="paragraph" w:customStyle="1" w:styleId="45">
    <w:name w:val="修订1"/>
    <w:unhideWhenUsed/>
    <w:qFormat/>
    <w:uiPriority w:val="99"/>
    <w:rPr>
      <w:rFonts w:ascii="Times New Roman" w:hAnsi="Times New Roman" w:eastAsia="宋体" w:cs="Times New Roman"/>
      <w:kern w:val="2"/>
      <w:sz w:val="21"/>
      <w:szCs w:val="24"/>
      <w:lang w:val="en-US" w:eastAsia="zh-CN" w:bidi="ar-SA"/>
    </w:rPr>
  </w:style>
  <w:style w:type="paragraph" w:customStyle="1" w:styleId="46">
    <w:name w:val="TableText"/>
    <w:basedOn w:val="5"/>
    <w:next w:val="47"/>
    <w:qFormat/>
    <w:uiPriority w:val="0"/>
    <w:pPr>
      <w:keepNext/>
      <w:spacing w:before="60" w:after="60"/>
      <w:jc w:val="left"/>
    </w:pPr>
    <w:rPr>
      <w:sz w:val="20"/>
    </w:rPr>
  </w:style>
  <w:style w:type="paragraph" w:customStyle="1" w:styleId="47">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48">
    <w:name w:val="TableColumnHeading"/>
    <w:basedOn w:val="47"/>
    <w:next w:val="47"/>
    <w:qFormat/>
    <w:uiPriority w:val="0"/>
    <w:rPr>
      <w:color w:val="auto"/>
    </w:rPr>
  </w:style>
  <w:style w:type="character" w:styleId="49">
    <w:name w:val="Placeholder Text"/>
    <w:basedOn w:val="22"/>
    <w:unhideWhenUsed/>
    <w:qFormat/>
    <w:uiPriority w:val="99"/>
    <w:rPr>
      <w:color w:val="808080"/>
    </w:rPr>
  </w:style>
  <w:style w:type="paragraph" w:customStyle="1" w:styleId="50">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5.bin"/><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png"/><Relationship Id="rId94" Type="http://schemas.openxmlformats.org/officeDocument/2006/relationships/image" Target="media/image47.wmf"/><Relationship Id="rId93" Type="http://schemas.openxmlformats.org/officeDocument/2006/relationships/oleObject" Target="embeddings/oleObject43.bin"/><Relationship Id="rId92" Type="http://schemas.openxmlformats.org/officeDocument/2006/relationships/image" Target="media/image46.wmf"/><Relationship Id="rId91" Type="http://schemas.openxmlformats.org/officeDocument/2006/relationships/oleObject" Target="embeddings/oleObject42.bin"/><Relationship Id="rId90" Type="http://schemas.openxmlformats.org/officeDocument/2006/relationships/image" Target="media/image45.png"/><Relationship Id="rId9" Type="http://schemas.openxmlformats.org/officeDocument/2006/relationships/image" Target="media/image3.wmf"/><Relationship Id="rId89" Type="http://schemas.openxmlformats.org/officeDocument/2006/relationships/oleObject" Target="embeddings/oleObject41.bin"/><Relationship Id="rId88" Type="http://schemas.openxmlformats.org/officeDocument/2006/relationships/oleObject" Target="embeddings/oleObject40.bin"/><Relationship Id="rId87" Type="http://schemas.openxmlformats.org/officeDocument/2006/relationships/oleObject" Target="embeddings/oleObject39.bin"/><Relationship Id="rId86" Type="http://schemas.openxmlformats.org/officeDocument/2006/relationships/oleObject" Target="embeddings/oleObject38.bin"/><Relationship Id="rId85" Type="http://schemas.openxmlformats.org/officeDocument/2006/relationships/image" Target="media/image44.png"/><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oleObject" Target="embeddings/oleObject35.bin"/><Relationship Id="rId80" Type="http://schemas.openxmlformats.org/officeDocument/2006/relationships/image" Target="media/image42.png"/><Relationship Id="rId8" Type="http://schemas.openxmlformats.org/officeDocument/2006/relationships/oleObject" Target="embeddings/oleObject2.bin"/><Relationship Id="rId79" Type="http://schemas.openxmlformats.org/officeDocument/2006/relationships/image" Target="media/image41.wmf"/><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png"/><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image" Target="media/image2.wmf"/><Relationship Id="rId69" Type="http://schemas.openxmlformats.org/officeDocument/2006/relationships/oleObject" Target="embeddings/oleObject30.bin"/><Relationship Id="rId68" Type="http://schemas.openxmlformats.org/officeDocument/2006/relationships/image" Target="media/image35.png"/><Relationship Id="rId67" Type="http://schemas.openxmlformats.org/officeDocument/2006/relationships/image" Target="media/image34.wmf"/><Relationship Id="rId66" Type="http://schemas.openxmlformats.org/officeDocument/2006/relationships/oleObject" Target="embeddings/oleObject29.bin"/><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image" Target="media/image32.png"/><Relationship Id="rId62" Type="http://schemas.openxmlformats.org/officeDocument/2006/relationships/image" Target="media/image31.wmf"/><Relationship Id="rId61" Type="http://schemas.openxmlformats.org/officeDocument/2006/relationships/oleObject" Target="embeddings/oleObject27.bin"/><Relationship Id="rId60" Type="http://schemas.openxmlformats.org/officeDocument/2006/relationships/image" Target="media/image30.wmf"/><Relationship Id="rId6" Type="http://schemas.openxmlformats.org/officeDocument/2006/relationships/oleObject" Target="embeddings/oleObject1.bin"/><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image" Target="media/image28.wmf"/><Relationship Id="rId55" Type="http://schemas.openxmlformats.org/officeDocument/2006/relationships/oleObject" Target="embeddings/oleObject24.bin"/><Relationship Id="rId54" Type="http://schemas.openxmlformats.org/officeDocument/2006/relationships/image" Target="media/image27.png"/><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image" Target="media/image1.png"/><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png"/><Relationship Id="rId46" Type="http://schemas.openxmlformats.org/officeDocument/2006/relationships/image" Target="media/image22.wmf"/><Relationship Id="rId45" Type="http://schemas.openxmlformats.org/officeDocument/2006/relationships/oleObject" Target="embeddings/oleObject20.bin"/><Relationship Id="rId44" Type="http://schemas.openxmlformats.org/officeDocument/2006/relationships/image" Target="media/image21.wmf"/><Relationship Id="rId43" Type="http://schemas.openxmlformats.org/officeDocument/2006/relationships/oleObject" Target="embeddings/oleObject19.bin"/><Relationship Id="rId42" Type="http://schemas.openxmlformats.org/officeDocument/2006/relationships/image" Target="media/image20.wmf"/><Relationship Id="rId41" Type="http://schemas.openxmlformats.org/officeDocument/2006/relationships/oleObject" Target="embeddings/oleObject18.bin"/><Relationship Id="rId40" Type="http://schemas.openxmlformats.org/officeDocument/2006/relationships/image" Target="media/image19.png"/><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png"/><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png"/><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4.bin"/><Relationship Id="rId113" Type="http://schemas.openxmlformats.org/officeDocument/2006/relationships/fontTable" Target="fontTable.xml"/><Relationship Id="rId112" Type="http://schemas.openxmlformats.org/officeDocument/2006/relationships/numbering" Target="numbering.xml"/><Relationship Id="rId111" Type="http://schemas.openxmlformats.org/officeDocument/2006/relationships/oleObject" Target="embeddings/oleObject51.bin"/><Relationship Id="rId110" Type="http://schemas.openxmlformats.org/officeDocument/2006/relationships/image" Target="media/image56.wmf"/><Relationship Id="rId11" Type="http://schemas.openxmlformats.org/officeDocument/2006/relationships/image" Target="media/image4.wmf"/><Relationship Id="rId109" Type="http://schemas.openxmlformats.org/officeDocument/2006/relationships/oleObject" Target="embeddings/oleObject50.bin"/><Relationship Id="rId108" Type="http://schemas.openxmlformats.org/officeDocument/2006/relationships/image" Target="media/image55.wmf"/><Relationship Id="rId107" Type="http://schemas.openxmlformats.org/officeDocument/2006/relationships/oleObject" Target="embeddings/oleObject49.bin"/><Relationship Id="rId106" Type="http://schemas.openxmlformats.org/officeDocument/2006/relationships/image" Target="media/image54.wmf"/><Relationship Id="rId105" Type="http://schemas.openxmlformats.org/officeDocument/2006/relationships/oleObject" Target="embeddings/oleObject48.bin"/><Relationship Id="rId104" Type="http://schemas.openxmlformats.org/officeDocument/2006/relationships/image" Target="media/image53.wmf"/><Relationship Id="rId103" Type="http://schemas.openxmlformats.org/officeDocument/2006/relationships/oleObject" Target="embeddings/oleObject47.bin"/><Relationship Id="rId102" Type="http://schemas.openxmlformats.org/officeDocument/2006/relationships/image" Target="media/image52.png"/><Relationship Id="rId101" Type="http://schemas.openxmlformats.org/officeDocument/2006/relationships/image" Target="media/image51.wmf"/><Relationship Id="rId100" Type="http://schemas.openxmlformats.org/officeDocument/2006/relationships/oleObject" Target="embeddings/oleObject46.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CBRC</Company>
  <Pages>11</Pages>
  <Words>1557</Words>
  <Characters>8879</Characters>
  <Lines>73</Lines>
  <Paragraphs>20</Paragraphs>
  <TotalTime>24</TotalTime>
  <ScaleCrop>false</ScaleCrop>
  <LinksUpToDate>false</LinksUpToDate>
  <CharactersWithSpaces>10416</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2023-10-08T16:48:00Z</dcterms:created>
  <dc:creator>刘琦</dc:creator>
  <cp:lastModifiedBy>王雅洁</cp:lastModifiedBy>
  <dcterms:modified xsi:type="dcterms:W3CDTF">2024-12-13T10:09:53Z</dcterms:modified>
  <dc:title>G4B-3（a）《场外衍生工具交易对手信用风险计算表(权重法)》 </dc:title>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50946111EB6240418C7679C5070A471A_13</vt:lpwstr>
  </property>
</Properties>
</file>