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黑体"/>
          <w:color w:val="000000"/>
          <w:szCs w:val="30"/>
        </w:rPr>
      </w:pPr>
      <w:bookmarkStart w:id="0" w:name="_Toc425237558"/>
      <w:bookmarkStart w:id="1" w:name="_Toc425156138"/>
      <w:bookmarkStart w:id="2" w:name="_Toc425156297"/>
      <w:bookmarkStart w:id="3" w:name="_Toc12489"/>
      <w:r>
        <w:rPr>
          <w:rFonts w:hint="eastAsia" w:ascii="黑体"/>
          <w:color w:val="000000"/>
          <w:szCs w:val="30"/>
        </w:rPr>
        <w:t>G4D-2损失金额和损失事件分布情况表(新规)填报说明</w:t>
      </w:r>
      <w:bookmarkEnd w:id="0"/>
      <w:bookmarkEnd w:id="1"/>
      <w:bookmarkEnd w:id="2"/>
      <w:bookmarkEnd w:id="3"/>
    </w:p>
    <w:p>
      <w:pPr>
        <w:rPr>
          <w:color w:val="000000"/>
        </w:rPr>
      </w:pPr>
    </w:p>
    <w:p>
      <w:pPr>
        <w:spacing w:line="440" w:lineRule="exact"/>
        <w:rPr>
          <w:rFonts w:ascii="宋体" w:hAnsi="宋体"/>
          <w:b/>
          <w:bCs/>
          <w:color w:val="000000"/>
          <w:szCs w:val="21"/>
        </w:rPr>
      </w:pPr>
      <w:r>
        <w:rPr>
          <w:rFonts w:ascii="宋体" w:hAnsi="宋体"/>
          <w:b/>
          <w:bCs/>
          <w:color w:val="000000"/>
          <w:szCs w:val="21"/>
        </w:rPr>
        <w:t>第一部分：引言</w:t>
      </w:r>
    </w:p>
    <w:p>
      <w:pPr>
        <w:spacing w:line="440" w:lineRule="exact"/>
        <w:ind w:firstLine="420" w:firstLineChars="200"/>
        <w:rPr>
          <w:rFonts w:ascii="宋体" w:hAnsi="宋体"/>
          <w:color w:val="000000"/>
          <w:szCs w:val="21"/>
        </w:rPr>
      </w:pPr>
      <w:r>
        <w:rPr>
          <w:rFonts w:ascii="宋体" w:hAnsi="宋体"/>
          <w:color w:val="000000"/>
          <w:szCs w:val="21"/>
        </w:rPr>
        <w:t>本报表依据</w:t>
      </w:r>
      <w:r>
        <w:rPr>
          <w:rFonts w:ascii="宋体" w:hAnsi="宋体"/>
          <w:bCs/>
          <w:color w:val="000000"/>
          <w:szCs w:val="21"/>
        </w:rPr>
        <w:t>《商业银行资本管理办法》</w:t>
      </w:r>
      <w:r>
        <w:rPr>
          <w:rFonts w:hint="eastAsia" w:ascii="宋体" w:hAnsi="宋体"/>
          <w:bCs/>
          <w:color w:val="000000"/>
          <w:szCs w:val="21"/>
        </w:rPr>
        <w:t>（以下简称《办法》）</w:t>
      </w:r>
      <w:r>
        <w:rPr>
          <w:rFonts w:ascii="宋体" w:hAnsi="宋体"/>
          <w:color w:val="000000"/>
          <w:szCs w:val="21"/>
        </w:rPr>
        <w:t>制定</w:t>
      </w:r>
      <w:r>
        <w:rPr>
          <w:rFonts w:hint="eastAsia" w:ascii="宋体" w:hAnsi="宋体"/>
          <w:color w:val="000000"/>
          <w:szCs w:val="21"/>
        </w:rPr>
        <w:t>。反映</w:t>
      </w:r>
      <w:r>
        <w:rPr>
          <w:rFonts w:ascii="宋体" w:hAnsi="宋体"/>
          <w:color w:val="000000"/>
          <w:szCs w:val="21"/>
        </w:rPr>
        <w:t>填报机构</w:t>
      </w:r>
      <w:r>
        <w:rPr>
          <w:rFonts w:hAnsi="宋体"/>
          <w:color w:val="000000"/>
          <w:szCs w:val="21"/>
        </w:rPr>
        <w:t>损失</w:t>
      </w:r>
      <w:bookmarkStart w:id="4" w:name="_GoBack"/>
      <w:bookmarkEnd w:id="4"/>
      <w:r>
        <w:rPr>
          <w:rFonts w:hint="eastAsia" w:hAnsi="宋体"/>
          <w:color w:val="000000"/>
          <w:szCs w:val="21"/>
        </w:rPr>
        <w:t>金额分布和损失</w:t>
      </w:r>
      <w:r>
        <w:rPr>
          <w:rFonts w:hAnsi="宋体"/>
          <w:color w:val="000000"/>
          <w:szCs w:val="21"/>
        </w:rPr>
        <w:t>事件分布情况</w:t>
      </w:r>
      <w:r>
        <w:rPr>
          <w:rFonts w:hint="eastAsia" w:hAnsi="宋体"/>
          <w:color w:val="000000"/>
          <w:szCs w:val="21"/>
        </w:rPr>
        <w:t>。</w:t>
      </w:r>
    </w:p>
    <w:p>
      <w:pPr>
        <w:spacing w:line="440" w:lineRule="exact"/>
        <w:rPr>
          <w:rFonts w:ascii="宋体" w:hAnsi="宋体"/>
          <w:b/>
          <w:bCs/>
          <w:color w:val="000000"/>
          <w:szCs w:val="21"/>
        </w:rPr>
      </w:pPr>
      <w:r>
        <w:rPr>
          <w:rFonts w:ascii="宋体" w:hAnsi="宋体"/>
          <w:b/>
          <w:bCs/>
          <w:color w:val="000000"/>
          <w:szCs w:val="21"/>
        </w:rPr>
        <w:t>第二部分：一般说明</w:t>
      </w:r>
    </w:p>
    <w:p>
      <w:pPr>
        <w:spacing w:line="440" w:lineRule="exact"/>
        <w:ind w:firstLine="420" w:firstLineChars="200"/>
        <w:rPr>
          <w:rFonts w:ascii="宋体" w:hAnsi="宋体"/>
          <w:color w:val="000000"/>
          <w:szCs w:val="21"/>
        </w:rPr>
      </w:pPr>
      <w:r>
        <w:rPr>
          <w:rFonts w:ascii="宋体" w:hAnsi="宋体"/>
          <w:color w:val="000000"/>
          <w:szCs w:val="21"/>
        </w:rPr>
        <w:t>1</w:t>
      </w:r>
      <w:r>
        <w:rPr>
          <w:rFonts w:hint="eastAsia" w:ascii="宋体" w:hAnsi="宋体"/>
          <w:color w:val="000000"/>
          <w:szCs w:val="21"/>
        </w:rPr>
        <w:t>．</w:t>
      </w:r>
      <w:r>
        <w:rPr>
          <w:rFonts w:ascii="宋体" w:hAnsi="宋体"/>
          <w:color w:val="000000"/>
          <w:szCs w:val="21"/>
        </w:rPr>
        <w:t>报表名称</w:t>
      </w:r>
      <w:r>
        <w:rPr>
          <w:rFonts w:hint="eastAsia" w:ascii="宋体" w:hAnsi="宋体"/>
          <w:color w:val="000000"/>
          <w:szCs w:val="21"/>
        </w:rPr>
        <w:t>：</w:t>
      </w:r>
      <w:r>
        <w:rPr>
          <w:rFonts w:hint="eastAsia"/>
          <w:color w:val="000000"/>
        </w:rPr>
        <w:t>损失金额和损失事件分布情况表。</w:t>
      </w:r>
    </w:p>
    <w:p>
      <w:pPr>
        <w:spacing w:line="440" w:lineRule="exact"/>
        <w:ind w:firstLine="420" w:firstLineChars="200"/>
        <w:rPr>
          <w:rFonts w:hint="default" w:ascii="宋体" w:hAnsi="宋体" w:eastAsia="宋体"/>
          <w:color w:val="000000"/>
          <w:szCs w:val="21"/>
          <w:lang w:val="en-US" w:eastAsia="zh-CN"/>
        </w:rPr>
      </w:pPr>
      <w:r>
        <w:rPr>
          <w:rFonts w:ascii="宋体" w:hAnsi="宋体"/>
          <w:bCs/>
          <w:color w:val="000000"/>
          <w:szCs w:val="21"/>
        </w:rPr>
        <w:t>2</w:t>
      </w:r>
      <w:r>
        <w:rPr>
          <w:rFonts w:hint="eastAsia" w:ascii="宋体" w:hAnsi="宋体"/>
          <w:bCs/>
          <w:color w:val="000000"/>
          <w:szCs w:val="21"/>
        </w:rPr>
        <w:t>．</w:t>
      </w:r>
      <w:r>
        <w:rPr>
          <w:rFonts w:ascii="宋体" w:hAnsi="宋体"/>
          <w:bCs/>
          <w:color w:val="000000"/>
          <w:szCs w:val="21"/>
        </w:rPr>
        <w:t>报表编码</w:t>
      </w:r>
      <w:r>
        <w:rPr>
          <w:rFonts w:ascii="宋体" w:hAnsi="宋体"/>
          <w:color w:val="000000"/>
          <w:szCs w:val="21"/>
        </w:rPr>
        <w:t>：</w:t>
      </w:r>
      <w:r>
        <w:rPr>
          <w:rFonts w:hint="eastAsia" w:ascii="宋体" w:hAnsi="宋体"/>
          <w:color w:val="000000"/>
          <w:szCs w:val="21"/>
          <w:lang w:eastAsia="zh-CN"/>
        </w:rPr>
        <w:t>金监统</w:t>
      </w:r>
      <w:r>
        <w:rPr>
          <w:rFonts w:hint="eastAsia" w:ascii="宋体" w:hAnsi="宋体"/>
          <w:color w:val="000000"/>
          <w:szCs w:val="21"/>
          <w:lang w:val="en-US" w:eastAsia="zh-CN"/>
        </w:rPr>
        <w:t>G4D-2号。</w:t>
      </w:r>
    </w:p>
    <w:p>
      <w:pPr>
        <w:spacing w:line="440" w:lineRule="exact"/>
        <w:ind w:firstLine="420" w:firstLineChars="200"/>
        <w:rPr>
          <w:rFonts w:ascii="宋体" w:hAnsi="宋体"/>
          <w:szCs w:val="21"/>
        </w:rPr>
      </w:pPr>
      <w:r>
        <w:rPr>
          <w:rFonts w:hint="eastAsia" w:ascii="宋体" w:hAnsi="宋体"/>
          <w:color w:val="000000"/>
          <w:szCs w:val="21"/>
        </w:rPr>
        <w:t>3．</w:t>
      </w:r>
      <w:r>
        <w:rPr>
          <w:rFonts w:ascii="宋体" w:hAnsi="宋体"/>
          <w:color w:val="000000"/>
          <w:szCs w:val="21"/>
        </w:rPr>
        <w:t>填报机构：</w:t>
      </w:r>
      <w:r>
        <w:rPr>
          <w:rFonts w:hint="eastAsia" w:ascii="宋体" w:hAnsi="宋体"/>
          <w:szCs w:val="21"/>
        </w:rPr>
        <w:t>符合《办法》第一档商业银行标准的开发性金融机构和政策性银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420" w:firstLineChars="200"/>
        <w:rPr>
          <w:rFonts w:ascii="宋体" w:hAnsi="宋体"/>
          <w:color w:val="000000"/>
          <w:szCs w:val="21"/>
        </w:rPr>
      </w:pPr>
      <w:r>
        <w:rPr>
          <w:rFonts w:ascii="宋体" w:hAnsi="宋体"/>
          <w:color w:val="000000"/>
          <w:szCs w:val="21"/>
        </w:rPr>
        <w:t>4</w:t>
      </w:r>
      <w:r>
        <w:rPr>
          <w:rFonts w:hint="eastAsia" w:ascii="宋体" w:hAnsi="宋体"/>
          <w:bCs/>
          <w:color w:val="000000"/>
          <w:szCs w:val="21"/>
        </w:rPr>
        <w:t>．</w:t>
      </w:r>
      <w:r>
        <w:rPr>
          <w:rFonts w:ascii="宋体" w:hAnsi="宋体"/>
          <w:color w:val="000000"/>
          <w:szCs w:val="21"/>
        </w:rPr>
        <w:t>报送</w:t>
      </w:r>
      <w:r>
        <w:rPr>
          <w:rFonts w:hint="eastAsia" w:ascii="宋体" w:hAnsi="宋体"/>
          <w:color w:val="000000"/>
          <w:szCs w:val="21"/>
        </w:rPr>
        <w:t>口径、</w:t>
      </w:r>
      <w:r>
        <w:rPr>
          <w:rFonts w:ascii="宋体" w:hAnsi="宋体"/>
          <w:color w:val="000000"/>
          <w:szCs w:val="21"/>
        </w:rPr>
        <w:t>频度</w:t>
      </w:r>
      <w:r>
        <w:rPr>
          <w:rFonts w:hint="eastAsia" w:ascii="宋体" w:hAnsi="宋体"/>
          <w:color w:val="000000"/>
          <w:szCs w:val="21"/>
        </w:rPr>
        <w:t>及时间</w:t>
      </w:r>
      <w:r>
        <w:rPr>
          <w:rFonts w:ascii="宋体" w:hAnsi="宋体"/>
          <w:color w:val="000000"/>
          <w:szCs w:val="21"/>
        </w:rPr>
        <w:t>：</w:t>
      </w:r>
      <w:r>
        <w:rPr>
          <w:rFonts w:hint="eastAsia" w:ascii="宋体" w:hAnsi="宋体"/>
          <w:szCs w:val="21"/>
        </w:rPr>
        <w:t>法人汇总数据（年</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年</w:t>
      </w:r>
      <w:r>
        <w:rPr>
          <w:rFonts w:ascii="宋体" w:hAnsi="宋体"/>
          <w:szCs w:val="21"/>
        </w:rPr>
        <w:t>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合并报表数据（年</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年</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color w:val="000000"/>
          <w:szCs w:val="21"/>
        </w:rPr>
        <w:t>。</w:t>
      </w:r>
    </w:p>
    <w:p>
      <w:pPr>
        <w:spacing w:line="440" w:lineRule="exact"/>
        <w:ind w:firstLine="420" w:firstLineChars="200"/>
        <w:rPr>
          <w:rFonts w:ascii="宋体" w:hAnsi="宋体"/>
          <w:color w:val="000000"/>
          <w:szCs w:val="21"/>
        </w:rPr>
      </w:pPr>
      <w:r>
        <w:rPr>
          <w:rFonts w:ascii="宋体" w:hAnsi="宋体"/>
          <w:color w:val="000000"/>
          <w:szCs w:val="21"/>
        </w:rPr>
        <w:t>5</w:t>
      </w:r>
      <w:r>
        <w:rPr>
          <w:rFonts w:hint="eastAsia" w:ascii="宋体" w:hAnsi="宋体"/>
          <w:bCs/>
          <w:color w:val="000000"/>
          <w:szCs w:val="21"/>
        </w:rPr>
        <w:t>．</w:t>
      </w:r>
      <w:r>
        <w:rPr>
          <w:rFonts w:ascii="宋体" w:hAnsi="宋体"/>
          <w:color w:val="000000"/>
          <w:szCs w:val="21"/>
        </w:rPr>
        <w:t>报送方式：以电子报表形式报送国家金融监督管理总局。</w:t>
      </w:r>
    </w:p>
    <w:p>
      <w:pPr>
        <w:spacing w:line="440" w:lineRule="exact"/>
        <w:ind w:firstLine="420" w:firstLineChars="200"/>
        <w:rPr>
          <w:rFonts w:ascii="宋体" w:hAnsi="宋体"/>
          <w:color w:val="000000"/>
          <w:szCs w:val="21"/>
        </w:rPr>
      </w:pPr>
      <w:r>
        <w:rPr>
          <w:rFonts w:hint="eastAsia" w:ascii="宋体" w:hAnsi="宋体"/>
          <w:color w:val="000000"/>
          <w:szCs w:val="21"/>
        </w:rPr>
        <w:t>6．</w:t>
      </w:r>
      <w:r>
        <w:rPr>
          <w:rFonts w:ascii="宋体" w:hAnsi="宋体"/>
          <w:color w:val="000000"/>
          <w:szCs w:val="21"/>
        </w:rPr>
        <w:t>数据单位：万元，</w:t>
      </w:r>
      <w:r>
        <w:rPr>
          <w:rFonts w:hint="eastAsia" w:ascii="宋体" w:hAnsi="宋体"/>
          <w:color w:val="000000"/>
          <w:szCs w:val="21"/>
        </w:rPr>
        <w:t>件</w:t>
      </w:r>
      <w:r>
        <w:rPr>
          <w:rFonts w:ascii="宋体" w:hAnsi="宋体"/>
          <w:color w:val="000000"/>
          <w:szCs w:val="21"/>
        </w:rPr>
        <w:t>。</w:t>
      </w:r>
    </w:p>
    <w:p>
      <w:pPr>
        <w:spacing w:line="440" w:lineRule="exact"/>
        <w:ind w:firstLine="420" w:firstLineChars="200"/>
        <w:rPr>
          <w:rFonts w:ascii="宋体" w:hAnsi="宋体"/>
          <w:color w:val="000000"/>
          <w:szCs w:val="21"/>
        </w:rPr>
      </w:pPr>
      <w:r>
        <w:rPr>
          <w:rFonts w:hint="eastAsia" w:ascii="宋体" w:hAnsi="宋体"/>
          <w:color w:val="000000"/>
          <w:szCs w:val="21"/>
        </w:rPr>
        <w:t>7．</w:t>
      </w:r>
      <w:r>
        <w:rPr>
          <w:rFonts w:ascii="宋体" w:hAnsi="宋体"/>
          <w:color w:val="000000"/>
          <w:szCs w:val="21"/>
        </w:rPr>
        <w:t>四舍五入要求：金额保留</w:t>
      </w:r>
      <w:r>
        <w:rPr>
          <w:rFonts w:hint="eastAsia" w:ascii="宋体" w:hAnsi="宋体"/>
          <w:color w:val="000000"/>
          <w:szCs w:val="21"/>
        </w:rPr>
        <w:t>两位小数</w:t>
      </w:r>
      <w:r>
        <w:rPr>
          <w:rFonts w:ascii="宋体" w:hAnsi="宋体"/>
          <w:color w:val="000000"/>
          <w:szCs w:val="21"/>
        </w:rPr>
        <w:t>，</w:t>
      </w:r>
      <w:r>
        <w:rPr>
          <w:rFonts w:hint="eastAsia" w:ascii="宋体" w:hAnsi="宋体"/>
          <w:color w:val="000000"/>
          <w:szCs w:val="21"/>
        </w:rPr>
        <w:t>事件数</w:t>
      </w:r>
      <w:r>
        <w:rPr>
          <w:rFonts w:ascii="宋体" w:hAnsi="宋体"/>
          <w:color w:val="000000"/>
          <w:szCs w:val="21"/>
        </w:rPr>
        <w:t>保留</w:t>
      </w:r>
      <w:r>
        <w:rPr>
          <w:rFonts w:hint="eastAsia" w:ascii="宋体" w:hAnsi="宋体"/>
          <w:color w:val="000000"/>
          <w:szCs w:val="21"/>
        </w:rPr>
        <w:t>整数</w:t>
      </w:r>
      <w:r>
        <w:rPr>
          <w:rFonts w:ascii="宋体" w:hAnsi="宋体"/>
          <w:color w:val="000000"/>
          <w:szCs w:val="21"/>
        </w:rPr>
        <w:t>。</w:t>
      </w:r>
    </w:p>
    <w:p>
      <w:pPr>
        <w:spacing w:line="440" w:lineRule="exact"/>
        <w:ind w:firstLine="420" w:firstLineChars="200"/>
        <w:rPr>
          <w:rFonts w:ascii="宋体" w:hAnsi="宋体"/>
          <w:color w:val="000000"/>
          <w:szCs w:val="21"/>
        </w:rPr>
      </w:pPr>
      <w:r>
        <w:rPr>
          <w:rFonts w:hint="eastAsia" w:ascii="宋体" w:hAnsi="宋体"/>
          <w:color w:val="000000"/>
          <w:szCs w:val="21"/>
        </w:rPr>
        <w:t>8．填报币种：本表要求以本外币合计人民币数据填报。银行业金融机构将外币折算为人民币时，应按照损失记账日国家外汇管理局公布的人民币兑美元、欧元、日元和港币的基准汇价进行折算。美元、欧元、日元和港币等四种主要货币以外的其他货币对人民币的折算汇率，以损失记账日美元对人民币的基准汇率与同一天上午9时国际外汇市场其他货币兑美元汇率套算确定</w:t>
      </w:r>
      <w:r>
        <w:rPr>
          <w:rFonts w:ascii="宋体" w:hAnsi="宋体"/>
          <w:color w:val="000000"/>
          <w:szCs w:val="21"/>
        </w:rPr>
        <w:t>。</w:t>
      </w:r>
    </w:p>
    <w:p>
      <w:pPr>
        <w:spacing w:line="440" w:lineRule="exact"/>
        <w:rPr>
          <w:rFonts w:hAnsi="宋体"/>
          <w:color w:val="000000"/>
          <w:szCs w:val="21"/>
        </w:rPr>
      </w:pPr>
      <w:r>
        <w:rPr>
          <w:rFonts w:ascii="宋体" w:hAnsi="宋体"/>
          <w:b/>
          <w:bCs/>
          <w:color w:val="000000"/>
          <w:szCs w:val="21"/>
        </w:rPr>
        <w:t>第</w:t>
      </w:r>
      <w:r>
        <w:rPr>
          <w:rFonts w:hint="eastAsia" w:ascii="宋体" w:hAnsi="宋体"/>
          <w:b/>
          <w:bCs/>
          <w:color w:val="000000"/>
          <w:szCs w:val="21"/>
        </w:rPr>
        <w:t>三</w:t>
      </w:r>
      <w:r>
        <w:rPr>
          <w:rFonts w:ascii="宋体" w:hAnsi="宋体"/>
          <w:b/>
          <w:bCs/>
          <w:color w:val="000000"/>
          <w:szCs w:val="21"/>
        </w:rPr>
        <w:t>部分：</w:t>
      </w:r>
      <w:r>
        <w:rPr>
          <w:rFonts w:hint="eastAsia" w:ascii="宋体" w:hAnsi="宋体"/>
          <w:b/>
          <w:bCs/>
          <w:color w:val="000000"/>
          <w:szCs w:val="21"/>
        </w:rPr>
        <w:t>具体</w:t>
      </w:r>
      <w:r>
        <w:rPr>
          <w:rFonts w:ascii="宋体" w:hAnsi="宋体"/>
          <w:b/>
          <w:bCs/>
          <w:color w:val="000000"/>
          <w:szCs w:val="21"/>
        </w:rPr>
        <w:t>说明</w:t>
      </w:r>
    </w:p>
    <w:p>
      <w:pPr>
        <w:tabs>
          <w:tab w:val="left" w:pos="720"/>
        </w:tabs>
        <w:spacing w:line="440" w:lineRule="exact"/>
        <w:ind w:firstLine="420" w:firstLineChars="200"/>
        <w:rPr>
          <w:rFonts w:asciiTheme="minorEastAsia" w:hAnsiTheme="minorEastAsia" w:eastAsiaTheme="minorEastAsia"/>
          <w:color w:val="000000"/>
          <w:szCs w:val="21"/>
        </w:rPr>
      </w:pPr>
      <w:r>
        <w:rPr>
          <w:rFonts w:hint="eastAsia" w:asciiTheme="minorEastAsia" w:hAnsiTheme="minorEastAsia" w:eastAsiaTheme="minorEastAsia"/>
          <w:color w:val="000000"/>
          <w:szCs w:val="21"/>
        </w:rPr>
        <w:t>[纳入内部损失乘数计算的损失事件]：依据</w:t>
      </w:r>
      <w:r>
        <w:rPr>
          <w:rFonts w:asciiTheme="minorEastAsia" w:hAnsiTheme="minorEastAsia" w:eastAsiaTheme="minorEastAsia"/>
          <w:bCs/>
          <w:color w:val="000000"/>
          <w:szCs w:val="21"/>
        </w:rPr>
        <w:t>《办法》</w:t>
      </w:r>
      <w:r>
        <w:rPr>
          <w:rFonts w:hint="eastAsia" w:asciiTheme="minorEastAsia" w:hAnsiTheme="minorEastAsia" w:eastAsiaTheme="minorEastAsia"/>
          <w:color w:val="000000"/>
          <w:szCs w:val="21"/>
        </w:rPr>
        <w:t>规定，纳入填报机构操作风险损失乘数计算的操作风险损失事件。</w:t>
      </w:r>
    </w:p>
    <w:p>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color w:val="000000"/>
          <w:szCs w:val="21"/>
        </w:rPr>
        <w:t>[</w:t>
      </w:r>
      <w:r>
        <w:rPr>
          <w:rFonts w:hint="eastAsia" w:asciiTheme="minorEastAsia" w:hAnsiTheme="minorEastAsia" w:eastAsiaTheme="minorEastAsia"/>
          <w:szCs w:val="21"/>
        </w:rPr>
        <w:t>最近第</w:t>
      </w:r>
      <w:r>
        <w:rPr>
          <w:rFonts w:asciiTheme="minorEastAsia" w:hAnsiTheme="minorEastAsia" w:eastAsiaTheme="minorEastAsia"/>
          <w:szCs w:val="21"/>
        </w:rPr>
        <w:t>X</w:t>
      </w:r>
      <w:r>
        <w:rPr>
          <w:rFonts w:hint="eastAsia" w:asciiTheme="minorEastAsia" w:hAnsiTheme="minorEastAsia" w:eastAsiaTheme="minorEastAsia"/>
          <w:szCs w:val="21"/>
        </w:rPr>
        <w:t>年</w:t>
      </w:r>
      <w:r>
        <w:rPr>
          <w:rFonts w:hint="eastAsia" w:asciiTheme="minorEastAsia" w:hAnsiTheme="minorEastAsia" w:eastAsiaTheme="minorEastAsia"/>
          <w:color w:val="000000"/>
          <w:szCs w:val="21"/>
        </w:rPr>
        <w:t>]</w:t>
      </w:r>
      <w:r>
        <w:rPr>
          <w:rFonts w:hint="eastAsia" w:asciiTheme="minorEastAsia" w:hAnsiTheme="minorEastAsia" w:eastAsiaTheme="minorEastAsia"/>
          <w:szCs w:val="21"/>
        </w:rPr>
        <w:t>：指报告时点最近的第X个完整的自然年度。如报送期为20</w:t>
      </w:r>
      <w:r>
        <w:rPr>
          <w:rFonts w:asciiTheme="minorEastAsia" w:hAnsiTheme="minorEastAsia" w:eastAsiaTheme="minorEastAsia"/>
          <w:szCs w:val="21"/>
        </w:rPr>
        <w:t>23</w:t>
      </w:r>
      <w:r>
        <w:rPr>
          <w:rFonts w:hint="eastAsia" w:asciiTheme="minorEastAsia" w:hAnsiTheme="minorEastAsia" w:eastAsiaTheme="minorEastAsia"/>
          <w:szCs w:val="21"/>
        </w:rPr>
        <w:t>年</w:t>
      </w:r>
      <w:r>
        <w:rPr>
          <w:rFonts w:asciiTheme="minorEastAsia" w:hAnsiTheme="minorEastAsia" w:eastAsiaTheme="minorEastAsia"/>
          <w:szCs w:val="21"/>
        </w:rPr>
        <w:t>12</w:t>
      </w:r>
      <w:r>
        <w:rPr>
          <w:rFonts w:hint="eastAsia" w:asciiTheme="minorEastAsia" w:hAnsiTheme="minorEastAsia" w:eastAsiaTheme="minorEastAsia"/>
          <w:szCs w:val="21"/>
        </w:rPr>
        <w:t>月31日，则“最近第一年”指的是20</w:t>
      </w:r>
      <w:r>
        <w:rPr>
          <w:rFonts w:asciiTheme="minorEastAsia" w:hAnsiTheme="minorEastAsia" w:eastAsiaTheme="minorEastAsia"/>
          <w:szCs w:val="21"/>
        </w:rPr>
        <w:t>23</w:t>
      </w:r>
      <w:r>
        <w:rPr>
          <w:rFonts w:hint="eastAsia" w:asciiTheme="minorEastAsia" w:hAnsiTheme="minorEastAsia" w:eastAsiaTheme="minorEastAsia"/>
          <w:szCs w:val="21"/>
        </w:rPr>
        <w:t>年，“最近第二年”指的是20</w:t>
      </w:r>
      <w:r>
        <w:rPr>
          <w:rFonts w:asciiTheme="minorEastAsia" w:hAnsiTheme="minorEastAsia" w:eastAsiaTheme="minorEastAsia"/>
          <w:szCs w:val="21"/>
        </w:rPr>
        <w:t>22</w:t>
      </w:r>
      <w:r>
        <w:rPr>
          <w:rFonts w:hint="eastAsia" w:asciiTheme="minorEastAsia" w:hAnsiTheme="minorEastAsia" w:eastAsiaTheme="minorEastAsia"/>
          <w:szCs w:val="21"/>
        </w:rPr>
        <w:t>年，以此类推。</w:t>
      </w:r>
    </w:p>
    <w:p>
      <w:pPr>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净损失金额分布</w:t>
      </w: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：反映填报机构在相应年度内，各损失事件类型的净损失金额总额。</w:t>
      </w:r>
    </w:p>
    <w:p>
      <w:pPr>
        <w:spacing w:line="440" w:lineRule="exact"/>
        <w:ind w:firstLine="420" w:firstLineChars="200"/>
        <w:rPr>
          <w:rFonts w:asciiTheme="minorEastAsia" w:hAnsiTheme="minorEastAsia" w:eastAsiaTheme="minorEastAsia"/>
          <w:color w:val="000000"/>
          <w:szCs w:val="21"/>
        </w:rPr>
      </w:pP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事件数分布</w:t>
      </w:r>
      <w:r>
        <w:rPr>
          <w:rFonts w:asciiTheme="minorEastAsia" w:hAnsiTheme="minorEastAsia" w:eastAsiaTheme="minorEastAsia"/>
          <w:color w:val="000000"/>
          <w:szCs w:val="21"/>
        </w:rPr>
        <w:t>]</w:t>
      </w:r>
      <w:r>
        <w:rPr>
          <w:rFonts w:hint="eastAsia" w:asciiTheme="minorEastAsia" w:hAnsiTheme="minorEastAsia" w:eastAsiaTheme="minorEastAsia"/>
          <w:color w:val="000000"/>
          <w:szCs w:val="21"/>
        </w:rPr>
        <w:t>：反映填报机构在相应年度内，各损失事件类型的操作风险损失事件数量。</w:t>
      </w:r>
    </w:p>
    <w:p>
      <w:pPr>
        <w:spacing w:line="440" w:lineRule="exact"/>
        <w:ind w:firstLine="420" w:firstLineChars="200"/>
        <w:rPr>
          <w:color w:val="000000"/>
          <w:szCs w:val="21"/>
        </w:rPr>
      </w:pPr>
      <w:r>
        <w:rPr>
          <w:rFonts w:hint="eastAsia" w:ascii="宋体" w:hAnsi="宋体"/>
          <w:szCs w:val="21"/>
        </w:rPr>
        <w:t>[A]</w:t>
      </w:r>
      <w:r>
        <w:rPr>
          <w:rFonts w:ascii="宋体" w:hAnsi="宋体"/>
          <w:szCs w:val="21"/>
        </w:rPr>
        <w:t>-</w:t>
      </w:r>
      <w:r>
        <w:rPr>
          <w:rFonts w:hint="eastAsia" w:ascii="宋体" w:hAnsi="宋体"/>
          <w:szCs w:val="21"/>
        </w:rPr>
        <w:t xml:space="preserve"> [</w:t>
      </w:r>
      <w:r>
        <w:rPr>
          <w:rFonts w:ascii="宋体" w:hAnsi="宋体"/>
          <w:szCs w:val="21"/>
        </w:rPr>
        <w:t>G</w:t>
      </w:r>
      <w:r>
        <w:rPr>
          <w:rFonts w:hint="eastAsia" w:ascii="宋体" w:hAnsi="宋体"/>
          <w:szCs w:val="21"/>
        </w:rPr>
        <w:t>]列</w:t>
      </w:r>
      <w:r>
        <w:rPr>
          <w:rFonts w:hint="eastAsia" w:hAnsi="宋体"/>
          <w:color w:val="000000"/>
          <w:szCs w:val="21"/>
        </w:rPr>
        <w:t>：按照</w:t>
      </w:r>
      <w:r>
        <w:rPr>
          <w:rFonts w:hAnsi="宋体"/>
          <w:color w:val="000000"/>
          <w:szCs w:val="21"/>
        </w:rPr>
        <w:t>《商业银行资本管理办法》附件</w:t>
      </w:r>
      <w:r>
        <w:rPr>
          <w:color w:val="000000"/>
          <w:szCs w:val="21"/>
        </w:rPr>
        <w:t>1</w:t>
      </w:r>
      <w:r>
        <w:rPr>
          <w:rFonts w:hint="eastAsia"/>
          <w:color w:val="000000"/>
          <w:szCs w:val="21"/>
        </w:rPr>
        <w:t>8中所界定的损失事件类型进行划分，如损失事件跨多个损失事件类型，则按照重要性原则归入主要的损失事件类型。</w:t>
      </w:r>
    </w:p>
    <w:p>
      <w:pPr>
        <w:tabs>
          <w:tab w:val="left" w:pos="720"/>
        </w:tabs>
        <w:spacing w:line="440" w:lineRule="exact"/>
        <w:rPr>
          <w:rFonts w:hAnsi="宋体"/>
          <w:b/>
          <w:color w:val="000000"/>
          <w:szCs w:val="21"/>
        </w:rPr>
      </w:pPr>
      <w:r>
        <w:rPr>
          <w:rFonts w:hAnsi="宋体"/>
          <w:b/>
          <w:color w:val="000000"/>
          <w:szCs w:val="21"/>
        </w:rPr>
        <w:t>第四部分：核对关系</w:t>
      </w:r>
    </w:p>
    <w:p>
      <w:pPr>
        <w:spacing w:line="440" w:lineRule="exact"/>
        <w:ind w:firstLine="421" w:firstLineChars="200"/>
        <w:rPr>
          <w:rFonts w:hAnsi="宋体"/>
          <w:b/>
          <w:bCs/>
          <w:color w:val="000000"/>
          <w:szCs w:val="21"/>
        </w:rPr>
      </w:pPr>
      <w:r>
        <w:rPr>
          <w:rFonts w:hint="eastAsia" w:hAnsi="宋体"/>
          <w:b/>
          <w:bCs/>
          <w:color w:val="000000"/>
          <w:szCs w:val="21"/>
        </w:rPr>
        <w:t>1</w:t>
      </w:r>
      <w:r>
        <w:rPr>
          <w:rFonts w:hAnsi="宋体"/>
          <w:b/>
          <w:bCs/>
          <w:color w:val="000000"/>
          <w:szCs w:val="21"/>
        </w:rPr>
        <w:t>.</w:t>
      </w:r>
      <w:r>
        <w:rPr>
          <w:rFonts w:hint="eastAsia" w:hAnsi="宋体"/>
          <w:b/>
          <w:bCs/>
          <w:color w:val="000000"/>
          <w:szCs w:val="21"/>
        </w:rPr>
        <w:t>表内核对关系</w:t>
      </w:r>
    </w:p>
    <w:p>
      <w:pPr>
        <w:spacing w:line="440" w:lineRule="exact"/>
        <w:ind w:firstLine="420" w:firstLineChars="200"/>
        <w:rPr>
          <w:rFonts w:hAnsi="宋体"/>
          <w:color w:val="000000"/>
          <w:szCs w:val="21"/>
        </w:rPr>
      </w:pPr>
      <w:r>
        <w:rPr>
          <w:rFonts w:hint="eastAsia" w:hAnsi="宋体"/>
          <w:color w:val="000000"/>
          <w:szCs w:val="21"/>
        </w:rPr>
        <w:t>[A]+[</w:t>
      </w:r>
      <w:r>
        <w:rPr>
          <w:rFonts w:hAnsi="宋体"/>
          <w:color w:val="000000"/>
          <w:szCs w:val="21"/>
        </w:rPr>
        <w:t>B</w:t>
      </w:r>
      <w:r>
        <w:rPr>
          <w:rFonts w:hint="eastAsia" w:hAnsi="宋体"/>
          <w:color w:val="000000"/>
          <w:szCs w:val="21"/>
        </w:rPr>
        <w:t>]+[</w:t>
      </w:r>
      <w:r>
        <w:rPr>
          <w:rFonts w:hAnsi="宋体"/>
          <w:color w:val="000000"/>
          <w:szCs w:val="21"/>
        </w:rPr>
        <w:t>C</w:t>
      </w:r>
      <w:r>
        <w:rPr>
          <w:rFonts w:hint="eastAsia" w:hAnsi="宋体"/>
          <w:color w:val="000000"/>
          <w:szCs w:val="21"/>
        </w:rPr>
        <w:t>]+[</w:t>
      </w:r>
      <w:r>
        <w:rPr>
          <w:rFonts w:hAnsi="宋体"/>
          <w:color w:val="000000"/>
          <w:szCs w:val="21"/>
        </w:rPr>
        <w:t>D</w:t>
      </w:r>
      <w:r>
        <w:rPr>
          <w:rFonts w:hint="eastAsia" w:hAnsi="宋体"/>
          <w:color w:val="000000"/>
          <w:szCs w:val="21"/>
        </w:rPr>
        <w:t>]+[</w:t>
      </w:r>
      <w:r>
        <w:rPr>
          <w:rFonts w:hAnsi="宋体"/>
          <w:color w:val="000000"/>
          <w:szCs w:val="21"/>
        </w:rPr>
        <w:t>E</w:t>
      </w:r>
      <w:r>
        <w:rPr>
          <w:rFonts w:hint="eastAsia" w:hAnsi="宋体"/>
          <w:color w:val="000000"/>
          <w:szCs w:val="21"/>
        </w:rPr>
        <w:t>]+[</w:t>
      </w:r>
      <w:r>
        <w:rPr>
          <w:rFonts w:hAnsi="宋体"/>
          <w:color w:val="000000"/>
          <w:szCs w:val="21"/>
        </w:rPr>
        <w:t>F</w:t>
      </w:r>
      <w:r>
        <w:rPr>
          <w:rFonts w:hint="eastAsia" w:hAnsi="宋体"/>
          <w:color w:val="000000"/>
          <w:szCs w:val="21"/>
        </w:rPr>
        <w:t>]+[</w:t>
      </w:r>
      <w:r>
        <w:rPr>
          <w:rFonts w:hAnsi="宋体"/>
          <w:color w:val="000000"/>
          <w:szCs w:val="21"/>
        </w:rPr>
        <w:t>G</w:t>
      </w:r>
      <w:r>
        <w:rPr>
          <w:rFonts w:hint="eastAsia" w:hAnsi="宋体"/>
          <w:color w:val="000000"/>
          <w:szCs w:val="21"/>
        </w:rPr>
        <w:t>]=[</w:t>
      </w:r>
      <w:r>
        <w:rPr>
          <w:rFonts w:hAnsi="宋体"/>
          <w:color w:val="000000"/>
          <w:szCs w:val="21"/>
        </w:rPr>
        <w:t>H</w:t>
      </w:r>
      <w:r>
        <w:rPr>
          <w:rFonts w:hint="eastAsia" w:hAnsi="宋体"/>
          <w:color w:val="000000"/>
          <w:szCs w:val="21"/>
        </w:rPr>
        <w:t>]，适用于[1]-[22]行；</w:t>
      </w:r>
    </w:p>
    <w:p>
      <w:pPr>
        <w:spacing w:line="440" w:lineRule="exact"/>
        <w:ind w:firstLine="421" w:firstLineChars="200"/>
        <w:rPr>
          <w:rFonts w:hAnsi="宋体"/>
          <w:b/>
          <w:bCs/>
          <w:color w:val="000000"/>
          <w:szCs w:val="21"/>
        </w:rPr>
      </w:pPr>
      <w:r>
        <w:rPr>
          <w:rFonts w:hint="eastAsia" w:hAnsi="宋体"/>
          <w:b/>
          <w:bCs/>
          <w:color w:val="000000"/>
          <w:szCs w:val="21"/>
        </w:rPr>
        <w:t>2</w:t>
      </w:r>
      <w:r>
        <w:rPr>
          <w:rFonts w:hAnsi="宋体"/>
          <w:b/>
          <w:bCs/>
          <w:color w:val="000000"/>
          <w:szCs w:val="21"/>
        </w:rPr>
        <w:t>.</w:t>
      </w:r>
      <w:r>
        <w:rPr>
          <w:rFonts w:hint="eastAsia" w:hAnsi="宋体"/>
          <w:b/>
          <w:bCs/>
          <w:color w:val="000000"/>
          <w:szCs w:val="21"/>
        </w:rPr>
        <w:t>表间核对关系</w:t>
      </w:r>
    </w:p>
    <w:p>
      <w:pPr>
        <w:spacing w:line="440" w:lineRule="exact"/>
        <w:ind w:firstLine="420" w:firstLineChars="200"/>
        <w:rPr>
          <w:rFonts w:hAnsi="宋体"/>
          <w:color w:val="000000"/>
          <w:szCs w:val="21"/>
        </w:rPr>
      </w:pPr>
      <w:r>
        <w:rPr>
          <w:rFonts w:hint="eastAsia" w:hAnsi="宋体"/>
          <w:color w:val="000000"/>
          <w:szCs w:val="21"/>
        </w:rPr>
        <w:t>G4D-2_[21.H]=G4D-1_[</w:t>
      </w:r>
      <w:r>
        <w:rPr>
          <w:rFonts w:hAnsi="宋体"/>
          <w:color w:val="000000"/>
          <w:szCs w:val="21"/>
        </w:rPr>
        <w:t>1.4L</w:t>
      </w:r>
      <w:r>
        <w:rPr>
          <w:rFonts w:hint="eastAsia" w:hAnsi="宋体"/>
          <w:color w:val="000000"/>
          <w:szCs w:val="21"/>
        </w:rPr>
        <w:t>]</w:t>
      </w:r>
    </w:p>
    <w:p>
      <w:pPr>
        <w:spacing w:line="440" w:lineRule="exact"/>
        <w:ind w:firstLine="420" w:firstLineChars="200"/>
        <w:rPr>
          <w:rFonts w:hAnsi="宋体"/>
          <w:color w:val="000000"/>
          <w:szCs w:val="21"/>
        </w:rPr>
      </w:pPr>
      <w:r>
        <w:rPr>
          <w:rFonts w:hint="eastAsia" w:hAnsi="宋体"/>
          <w:color w:val="000000"/>
          <w:szCs w:val="21"/>
        </w:rPr>
        <w:t>G4D-2_[22.H]=G4D-1_[</w:t>
      </w:r>
      <w:r>
        <w:rPr>
          <w:rFonts w:hAnsi="宋体"/>
          <w:color w:val="000000"/>
          <w:szCs w:val="21"/>
        </w:rPr>
        <w:t>1.1L</w:t>
      </w:r>
      <w:r>
        <w:rPr>
          <w:rFonts w:hint="eastAsia" w:hAnsi="宋体"/>
          <w:color w:val="000000"/>
          <w:szCs w:val="21"/>
        </w:rPr>
        <w:t>]</w:t>
      </w:r>
    </w:p>
    <w:p>
      <w:pPr>
        <w:rPr>
          <w:lang w:val="it-IT"/>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Tahoma">
    <w:altName w:val="DejaVu Sans"/>
    <w:panose1 w:val="020B0604030504040204"/>
    <w:charset w:val="00"/>
    <w:family w:val="swiss"/>
    <w:pitch w:val="default"/>
    <w:sig w:usb0="00000000" w:usb1="00000000"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D7B"/>
    <w:rsid w:val="000161ED"/>
    <w:rsid w:val="00017FAB"/>
    <w:rsid w:val="000511BC"/>
    <w:rsid w:val="0005228F"/>
    <w:rsid w:val="00075804"/>
    <w:rsid w:val="000B0FF7"/>
    <w:rsid w:val="000B75FC"/>
    <w:rsid w:val="000B7D87"/>
    <w:rsid w:val="000C638F"/>
    <w:rsid w:val="000D61C1"/>
    <w:rsid w:val="000E701B"/>
    <w:rsid w:val="00105FA6"/>
    <w:rsid w:val="00121580"/>
    <w:rsid w:val="00141588"/>
    <w:rsid w:val="00177B7B"/>
    <w:rsid w:val="001942ED"/>
    <w:rsid w:val="001C4882"/>
    <w:rsid w:val="001D0363"/>
    <w:rsid w:val="001D5C14"/>
    <w:rsid w:val="001E54AA"/>
    <w:rsid w:val="001E60A3"/>
    <w:rsid w:val="001E7FC8"/>
    <w:rsid w:val="002160AD"/>
    <w:rsid w:val="00226C7D"/>
    <w:rsid w:val="00231A68"/>
    <w:rsid w:val="00263347"/>
    <w:rsid w:val="002F2521"/>
    <w:rsid w:val="00301E4A"/>
    <w:rsid w:val="00322558"/>
    <w:rsid w:val="00346EF1"/>
    <w:rsid w:val="00363B19"/>
    <w:rsid w:val="00367B34"/>
    <w:rsid w:val="00413F2A"/>
    <w:rsid w:val="004203F2"/>
    <w:rsid w:val="0043648D"/>
    <w:rsid w:val="0045433B"/>
    <w:rsid w:val="00467C82"/>
    <w:rsid w:val="004D624F"/>
    <w:rsid w:val="004E3846"/>
    <w:rsid w:val="00502EF5"/>
    <w:rsid w:val="0055756A"/>
    <w:rsid w:val="005651CB"/>
    <w:rsid w:val="005A0DED"/>
    <w:rsid w:val="005B34C9"/>
    <w:rsid w:val="00601AF2"/>
    <w:rsid w:val="006173EA"/>
    <w:rsid w:val="0064625B"/>
    <w:rsid w:val="00660D4B"/>
    <w:rsid w:val="006A5BDE"/>
    <w:rsid w:val="006B01FE"/>
    <w:rsid w:val="006D17FB"/>
    <w:rsid w:val="00780171"/>
    <w:rsid w:val="00784843"/>
    <w:rsid w:val="00786904"/>
    <w:rsid w:val="007934A9"/>
    <w:rsid w:val="007B50AB"/>
    <w:rsid w:val="007C73F6"/>
    <w:rsid w:val="007D3ACE"/>
    <w:rsid w:val="007F189C"/>
    <w:rsid w:val="00805E83"/>
    <w:rsid w:val="00872808"/>
    <w:rsid w:val="00875A04"/>
    <w:rsid w:val="008D7BD1"/>
    <w:rsid w:val="008E7D1B"/>
    <w:rsid w:val="00927D7B"/>
    <w:rsid w:val="00930BAC"/>
    <w:rsid w:val="009333BD"/>
    <w:rsid w:val="00956AA8"/>
    <w:rsid w:val="00967BE8"/>
    <w:rsid w:val="00991CD0"/>
    <w:rsid w:val="009F2459"/>
    <w:rsid w:val="00A17983"/>
    <w:rsid w:val="00A50B36"/>
    <w:rsid w:val="00A860C5"/>
    <w:rsid w:val="00AA00AF"/>
    <w:rsid w:val="00AC087D"/>
    <w:rsid w:val="00B04C56"/>
    <w:rsid w:val="00B115F6"/>
    <w:rsid w:val="00B121FE"/>
    <w:rsid w:val="00B1479C"/>
    <w:rsid w:val="00B21B1F"/>
    <w:rsid w:val="00B36E6B"/>
    <w:rsid w:val="00BB0580"/>
    <w:rsid w:val="00C0150A"/>
    <w:rsid w:val="00C140BA"/>
    <w:rsid w:val="00C16677"/>
    <w:rsid w:val="00C433AA"/>
    <w:rsid w:val="00C50C7B"/>
    <w:rsid w:val="00C5547A"/>
    <w:rsid w:val="00C572C0"/>
    <w:rsid w:val="00C635B1"/>
    <w:rsid w:val="00C73B28"/>
    <w:rsid w:val="00C91FAE"/>
    <w:rsid w:val="00CA1417"/>
    <w:rsid w:val="00CB12B2"/>
    <w:rsid w:val="00CE740D"/>
    <w:rsid w:val="00D536B1"/>
    <w:rsid w:val="00D62F1A"/>
    <w:rsid w:val="00D72FEA"/>
    <w:rsid w:val="00D83791"/>
    <w:rsid w:val="00DA2604"/>
    <w:rsid w:val="00DA4174"/>
    <w:rsid w:val="00DB308C"/>
    <w:rsid w:val="00DC0D82"/>
    <w:rsid w:val="00DD2AB7"/>
    <w:rsid w:val="00E370D0"/>
    <w:rsid w:val="00E3747B"/>
    <w:rsid w:val="00E64F88"/>
    <w:rsid w:val="00EB64B4"/>
    <w:rsid w:val="00ED016C"/>
    <w:rsid w:val="00F103A4"/>
    <w:rsid w:val="00F61C0B"/>
    <w:rsid w:val="00F94CA2"/>
    <w:rsid w:val="00F95550"/>
    <w:rsid w:val="00FA5FBC"/>
    <w:rsid w:val="00FE0C1C"/>
    <w:rsid w:val="3FF8DCF4"/>
    <w:rsid w:val="4CCF21F9"/>
    <w:rsid w:val="5A275615"/>
    <w:rsid w:val="707B97A8"/>
    <w:rsid w:val="FE7B1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jc w:val="center"/>
      <w:outlineLvl w:val="0"/>
    </w:pPr>
    <w:rPr>
      <w:rFonts w:eastAsia="黑体"/>
      <w:b/>
      <w:sz w:val="30"/>
      <w:szCs w:val="20"/>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4"/>
    <w:unhideWhenUsed/>
    <w:qFormat/>
    <w:uiPriority w:val="99"/>
    <w:rPr>
      <w:rFonts w:ascii="宋体"/>
      <w:sz w:val="18"/>
      <w:szCs w:val="18"/>
    </w:rPr>
  </w:style>
  <w:style w:type="paragraph" w:styleId="4">
    <w:name w:val="Balloon Text"/>
    <w:basedOn w:val="1"/>
    <w:link w:val="15"/>
    <w:unhideWhenUsed/>
    <w:qFormat/>
    <w:uiPriority w:val="99"/>
    <w:rPr>
      <w:sz w:val="18"/>
      <w:szCs w:val="18"/>
    </w:rPr>
  </w:style>
  <w:style w:type="paragraph" w:styleId="5">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0">
    <w:name w:val="页眉 字符"/>
    <w:basedOn w:val="9"/>
    <w:link w:val="6"/>
    <w:qFormat/>
    <w:uiPriority w:val="99"/>
    <w:rPr>
      <w:sz w:val="18"/>
      <w:szCs w:val="18"/>
    </w:rPr>
  </w:style>
  <w:style w:type="character" w:customStyle="1" w:styleId="11">
    <w:name w:val="页脚 字符"/>
    <w:basedOn w:val="9"/>
    <w:link w:val="5"/>
    <w:qFormat/>
    <w:uiPriority w:val="99"/>
    <w:rPr>
      <w:sz w:val="18"/>
      <w:szCs w:val="18"/>
    </w:rPr>
  </w:style>
  <w:style w:type="character" w:customStyle="1" w:styleId="12">
    <w:name w:val="标题 1 字符"/>
    <w:basedOn w:val="9"/>
    <w:link w:val="2"/>
    <w:qFormat/>
    <w:uiPriority w:val="0"/>
    <w:rPr>
      <w:rFonts w:ascii="Times New Roman" w:hAnsi="Times New Roman" w:eastAsia="黑体" w:cs="Times New Roman"/>
      <w:b/>
      <w:sz w:val="30"/>
      <w:szCs w:val="20"/>
    </w:rPr>
  </w:style>
  <w:style w:type="paragraph" w:customStyle="1" w:styleId="13">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shd w:val="clear" w:color="auto" w:fill="000080"/>
      <w:jc w:val="left"/>
    </w:pPr>
    <w:rPr>
      <w:rFonts w:ascii="Tahoma" w:hAnsi="Tahoma"/>
      <w:sz w:val="24"/>
      <w:szCs w:val="28"/>
    </w:rPr>
  </w:style>
  <w:style w:type="character" w:customStyle="1" w:styleId="14">
    <w:name w:val="文档结构图 字符"/>
    <w:basedOn w:val="9"/>
    <w:link w:val="3"/>
    <w:semiHidden/>
    <w:qFormat/>
    <w:uiPriority w:val="99"/>
    <w:rPr>
      <w:rFonts w:ascii="宋体" w:hAnsi="Times New Roman" w:eastAsia="宋体" w:cs="Times New Roman"/>
      <w:sz w:val="18"/>
      <w:szCs w:val="18"/>
    </w:rPr>
  </w:style>
  <w:style w:type="character" w:customStyle="1" w:styleId="15">
    <w:name w:val="批注框文本 字符"/>
    <w:basedOn w:val="9"/>
    <w:link w:val="4"/>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150</Words>
  <Characters>859</Characters>
  <Lines>7</Lines>
  <Paragraphs>2</Paragraphs>
  <TotalTime>5</TotalTime>
  <ScaleCrop>false</ScaleCrop>
  <LinksUpToDate>false</LinksUpToDate>
  <CharactersWithSpaces>1007</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2023-04-13T09:49:00Z</dcterms:created>
  <dc:creator>李佳佳</dc:creator>
  <cp:lastModifiedBy>王雅洁</cp:lastModifiedBy>
  <dcterms:modified xsi:type="dcterms:W3CDTF">2024-12-13T09:51:46Z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574E5A38206AC7615969966505A13CB0</vt:lpwstr>
  </property>
</Properties>
</file>