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Pr>
      <w:r>
        <w:rPr>
          <w:rFonts w:hint="eastAsia"/>
        </w:rPr>
        <w:t>G4B-3（c）</w:t>
      </w:r>
      <w:r>
        <w:t>《</w:t>
      </w:r>
      <w:r>
        <w:rPr>
          <w:rFonts w:hint="eastAsia"/>
        </w:rPr>
        <w:t>信用估值调整和中央交易对手风险加权资产计算表(权重法)</w:t>
      </w:r>
      <w:r>
        <w:t>》</w:t>
      </w:r>
      <w:r>
        <w:rPr>
          <w:rFonts w:hint="eastAsia"/>
        </w:rPr>
        <w:t>(第二档银行)(新规)</w:t>
      </w:r>
      <w:bookmarkStart w:id="2" w:name="_GoBack"/>
      <w:bookmarkEnd w:id="2"/>
      <w:r>
        <w:t>填报说明</w:t>
      </w:r>
    </w:p>
    <w:p>
      <w:pPr>
        <w:spacing w:line="440" w:lineRule="exact"/>
        <w:rPr>
          <w:b/>
          <w:bCs/>
          <w:szCs w:val="21"/>
        </w:rPr>
      </w:pPr>
    </w:p>
    <w:p>
      <w:pPr>
        <w:spacing w:line="440" w:lineRule="exact"/>
        <w:rPr>
          <w:b/>
          <w:bCs/>
          <w:szCs w:val="21"/>
        </w:rPr>
      </w:pPr>
      <w:r>
        <w:rPr>
          <w:b/>
          <w:bCs/>
          <w:szCs w:val="21"/>
        </w:rPr>
        <w:t>第一部分：引言</w:t>
      </w:r>
    </w:p>
    <w:p>
      <w:pPr>
        <w:spacing w:line="440" w:lineRule="exact"/>
        <w:ind w:firstLine="420" w:firstLineChars="200"/>
        <w:rPr>
          <w:szCs w:val="21"/>
        </w:rPr>
      </w:pPr>
      <w:r>
        <w:rPr>
          <w:szCs w:val="21"/>
        </w:rPr>
        <w:t>本表根据《商业银行资本管理办法》</w:t>
      </w:r>
      <w:r>
        <w:rPr>
          <w:rFonts w:hint="eastAsia"/>
          <w:szCs w:val="21"/>
        </w:rPr>
        <w:t>（以下简称《办法》））</w:t>
      </w:r>
      <w:r>
        <w:rPr>
          <w:szCs w:val="21"/>
        </w:rPr>
        <w:t>的相关要求</w:t>
      </w:r>
      <w:r>
        <w:rPr>
          <w:rFonts w:hint="eastAsia"/>
          <w:szCs w:val="21"/>
        </w:rPr>
        <w:t>制定。</w:t>
      </w:r>
      <w:r>
        <w:rPr>
          <w:szCs w:val="21"/>
        </w:rPr>
        <w:t>商业银行应制定与其交易活动的特征、复杂程度和风险暴露水平相适应的交易对手信用风险管理政策和程序，应计量</w:t>
      </w:r>
      <w:r>
        <w:rPr>
          <w:rFonts w:hint="eastAsia"/>
          <w:szCs w:val="21"/>
        </w:rPr>
        <w:t>银行账簿</w:t>
      </w:r>
      <w:r>
        <w:rPr>
          <w:szCs w:val="21"/>
        </w:rPr>
        <w:t>和</w:t>
      </w:r>
      <w:r>
        <w:rPr>
          <w:rFonts w:hint="eastAsia"/>
          <w:szCs w:val="21"/>
        </w:rPr>
        <w:t>交易账簿</w:t>
      </w:r>
      <w:r>
        <w:rPr>
          <w:szCs w:val="21"/>
        </w:rPr>
        <w:t>的交易对手信用风险加权资产。</w:t>
      </w:r>
      <w:r>
        <w:rPr>
          <w:rFonts w:hint="eastAsia"/>
          <w:szCs w:val="21"/>
        </w:rPr>
        <w:t>《办法》中的《附件17：信用估值调整风险加权资产计量规则》和《附件10：中央交易对手风险暴露资本计量规则》规定了</w:t>
      </w:r>
      <w:r>
        <w:rPr>
          <w:szCs w:val="21"/>
        </w:rPr>
        <w:t>具体</w:t>
      </w:r>
      <w:r>
        <w:rPr>
          <w:rFonts w:hint="eastAsia"/>
          <w:szCs w:val="21"/>
        </w:rPr>
        <w:t>信用估值调整和中央</w:t>
      </w:r>
      <w:r>
        <w:rPr>
          <w:szCs w:val="21"/>
        </w:rPr>
        <w:t>交易对手风险加权资产计算</w:t>
      </w:r>
      <w:r>
        <w:rPr>
          <w:rFonts w:hint="eastAsia"/>
          <w:szCs w:val="21"/>
        </w:rPr>
        <w:t>方法</w:t>
      </w:r>
      <w:r>
        <w:rPr>
          <w:szCs w:val="21"/>
        </w:rPr>
        <w:t>。</w:t>
      </w:r>
    </w:p>
    <w:p>
      <w:pPr>
        <w:spacing w:line="440" w:lineRule="exact"/>
        <w:rPr>
          <w:b/>
          <w:bCs/>
          <w:szCs w:val="21"/>
        </w:rPr>
      </w:pPr>
      <w:r>
        <w:rPr>
          <w:b/>
          <w:bCs/>
          <w:szCs w:val="21"/>
        </w:rPr>
        <w:t>第二部分：一般说明</w:t>
      </w:r>
    </w:p>
    <w:p>
      <w:pPr>
        <w:spacing w:line="440" w:lineRule="exact"/>
        <w:ind w:firstLine="420" w:firstLineChars="200"/>
        <w:rPr>
          <w:szCs w:val="21"/>
        </w:rPr>
      </w:pPr>
      <w:r>
        <w:rPr>
          <w:szCs w:val="21"/>
        </w:rPr>
        <w:t>1．报表名称：</w:t>
      </w:r>
      <w:r>
        <w:rPr>
          <w:rFonts w:hint="eastAsia"/>
          <w:szCs w:val="21"/>
        </w:rPr>
        <w:t>信用估值调整和中央</w:t>
      </w:r>
      <w:r>
        <w:rPr>
          <w:szCs w:val="21"/>
        </w:rPr>
        <w:t>交易对手风险加权资产</w:t>
      </w:r>
      <w:r>
        <w:rPr>
          <w:rFonts w:hint="eastAsia"/>
        </w:rPr>
        <w:t>计算表(权重法)。</w:t>
      </w:r>
    </w:p>
    <w:p>
      <w:pPr>
        <w:spacing w:line="440" w:lineRule="exact"/>
        <w:ind w:firstLine="420" w:firstLineChars="200"/>
        <w:rPr>
          <w:szCs w:val="21"/>
        </w:rPr>
      </w:pPr>
      <w:r>
        <w:rPr>
          <w:bCs/>
          <w:szCs w:val="21"/>
        </w:rPr>
        <w:t>2．报表编码</w:t>
      </w:r>
      <w:r>
        <w:rPr>
          <w:szCs w:val="21"/>
        </w:rPr>
        <w:t>：银监统</w:t>
      </w:r>
      <w:r>
        <w:rPr>
          <w:rFonts w:hint="eastAsia"/>
          <w:szCs w:val="21"/>
        </w:rPr>
        <w:t>0045</w:t>
      </w:r>
      <w:r>
        <w:rPr>
          <w:szCs w:val="21"/>
        </w:rPr>
        <w:t>号</w:t>
      </w:r>
      <w:r>
        <w:rPr>
          <w:rFonts w:hint="eastAsia"/>
          <w:szCs w:val="21"/>
        </w:rPr>
        <w:t>。</w:t>
      </w:r>
    </w:p>
    <w:p>
      <w:pPr>
        <w:spacing w:line="440" w:lineRule="exact"/>
        <w:ind w:firstLine="420" w:firstLineChars="200"/>
        <w:rPr>
          <w:szCs w:val="21"/>
        </w:rPr>
      </w:pPr>
      <w:r>
        <w:rPr>
          <w:szCs w:val="21"/>
        </w:rPr>
        <w:t>3．填报机构：</w:t>
      </w:r>
      <w:r>
        <w:rPr>
          <w:rFonts w:hint="eastAsia" w:ascii="宋体" w:hAnsi="宋体"/>
          <w:szCs w:val="21"/>
        </w:rPr>
        <w:t>大型商业银行（含邮储银行）、股份制商业银行、城市商业银行、农村商业银行、外资法人银行和外国银行分行(仅报人民币账户数据)，以及开发性金融机构和政策性银行，农村合作银行、农村信用合作社、村镇银行、企业集团财务公司</w:t>
      </w:r>
      <w:r>
        <w:rPr>
          <w:rFonts w:ascii="宋体" w:hAnsi="宋体"/>
          <w:szCs w:val="21"/>
        </w:rPr>
        <w:t>。</w:t>
      </w:r>
    </w:p>
    <w:p>
      <w:pPr>
        <w:spacing w:line="440" w:lineRule="exact"/>
        <w:ind w:firstLine="420" w:firstLineChars="200"/>
        <w:rPr>
          <w:szCs w:val="21"/>
        </w:rPr>
      </w:pPr>
      <w:r>
        <w:rPr>
          <w:szCs w:val="21"/>
        </w:rPr>
        <w:t>4</w:t>
      </w:r>
      <w:r>
        <w:rPr>
          <w:bCs/>
          <w:szCs w:val="21"/>
        </w:rPr>
        <w:t>．</w:t>
      </w:r>
      <w:r>
        <w:rPr>
          <w:szCs w:val="21"/>
        </w:rPr>
        <w:t>报表口径、频度及时间：法人汇总数据（季报）为季后18日内、合并报表数据（</w:t>
      </w:r>
      <w:r>
        <w:rPr>
          <w:rFonts w:hint="eastAsia"/>
          <w:szCs w:val="21"/>
        </w:rPr>
        <w:t>季</w:t>
      </w:r>
      <w:r>
        <w:rPr>
          <w:szCs w:val="21"/>
        </w:rPr>
        <w:t>报）为</w:t>
      </w:r>
      <w:r>
        <w:rPr>
          <w:rFonts w:hint="eastAsia"/>
          <w:szCs w:val="21"/>
        </w:rPr>
        <w:t>季</w:t>
      </w:r>
      <w:r>
        <w:rPr>
          <w:szCs w:val="21"/>
        </w:rPr>
        <w:t>后40日内。</w:t>
      </w:r>
    </w:p>
    <w:p>
      <w:pPr>
        <w:spacing w:line="440" w:lineRule="exact"/>
        <w:ind w:firstLine="420" w:firstLineChars="200"/>
        <w:rPr>
          <w:szCs w:val="21"/>
        </w:rPr>
      </w:pPr>
      <w:r>
        <w:rPr>
          <w:szCs w:val="21"/>
        </w:rPr>
        <w:t>5</w:t>
      </w:r>
      <w:r>
        <w:rPr>
          <w:bCs/>
          <w:szCs w:val="21"/>
        </w:rPr>
        <w:t>．</w:t>
      </w:r>
      <w:r>
        <w:rPr>
          <w:szCs w:val="21"/>
        </w:rPr>
        <w:t>报送方式：以工作底稿形式汇总反映在相关报表中。</w:t>
      </w:r>
    </w:p>
    <w:p>
      <w:pPr>
        <w:spacing w:line="440" w:lineRule="exact"/>
        <w:ind w:firstLine="420" w:firstLineChars="200"/>
        <w:rPr>
          <w:szCs w:val="21"/>
        </w:rPr>
      </w:pPr>
      <w:r>
        <w:rPr>
          <w:szCs w:val="21"/>
        </w:rPr>
        <w:t>6．数据单位：万元。</w:t>
      </w:r>
    </w:p>
    <w:p>
      <w:pPr>
        <w:spacing w:line="440" w:lineRule="exact"/>
        <w:ind w:firstLine="420" w:firstLineChars="200"/>
        <w:rPr>
          <w:szCs w:val="21"/>
        </w:rPr>
      </w:pPr>
      <w:r>
        <w:rPr>
          <w:szCs w:val="21"/>
        </w:rPr>
        <w:t>7．四舍五入要求：金额保留两位小数。</w:t>
      </w:r>
    </w:p>
    <w:p>
      <w:pPr>
        <w:spacing w:line="440" w:lineRule="exact"/>
        <w:ind w:firstLine="420" w:firstLineChars="200"/>
        <w:rPr>
          <w:szCs w:val="21"/>
        </w:rPr>
      </w:pPr>
      <w:r>
        <w:rPr>
          <w:szCs w:val="21"/>
        </w:rPr>
        <w:t>8．填报币种：本表要求以本外币合计人民币数据填报。银行业金融机构将外币折算为人民币时，应按照报告期末最后一天国家外汇管理局公布的人民币兑美元、欧元、日元和港币的基准汇价进行折算。美元、欧元、日元和港币等四种主要货币以外的其他货币对人民币的折算汇率，以报告期末最后一天美元对人民币的基准汇率与同一天上午9时国际外汇市场其他货币兑美元汇率套算确定</w:t>
      </w:r>
      <w:r>
        <w:rPr>
          <w:bCs/>
          <w:szCs w:val="21"/>
        </w:rPr>
        <w:t>。</w:t>
      </w:r>
    </w:p>
    <w:p>
      <w:pPr>
        <w:spacing w:line="440" w:lineRule="exact"/>
        <w:rPr>
          <w:b/>
          <w:bCs/>
          <w:szCs w:val="21"/>
        </w:rPr>
      </w:pPr>
      <w:r>
        <w:rPr>
          <w:b/>
          <w:bCs/>
          <w:szCs w:val="21"/>
        </w:rPr>
        <w:t>第</w:t>
      </w:r>
      <w:r>
        <w:rPr>
          <w:rFonts w:hint="eastAsia"/>
          <w:b/>
          <w:bCs/>
          <w:szCs w:val="21"/>
        </w:rPr>
        <w:t>三</w:t>
      </w:r>
      <w:r>
        <w:rPr>
          <w:b/>
          <w:bCs/>
          <w:szCs w:val="21"/>
        </w:rPr>
        <w:t>部分：</w:t>
      </w:r>
      <w:r>
        <w:rPr>
          <w:rFonts w:hint="eastAsia"/>
          <w:b/>
          <w:bCs/>
          <w:szCs w:val="21"/>
        </w:rPr>
        <w:t>具体</w:t>
      </w:r>
      <w:r>
        <w:rPr>
          <w:b/>
          <w:bCs/>
          <w:szCs w:val="21"/>
        </w:rPr>
        <w:t>说明</w:t>
      </w:r>
    </w:p>
    <w:p>
      <w:pPr>
        <w:spacing w:line="440" w:lineRule="exact"/>
        <w:ind w:firstLine="420" w:firstLineChars="200"/>
        <w:rPr>
          <w:szCs w:val="21"/>
        </w:rPr>
      </w:pPr>
      <w:r>
        <w:rPr>
          <w:rFonts w:hint="eastAsia"/>
          <w:bCs/>
          <w:szCs w:val="21"/>
        </w:rPr>
        <w:t>《G4B-3</w:t>
      </w:r>
      <w:r>
        <w:rPr>
          <w:rFonts w:hint="eastAsia"/>
        </w:rPr>
        <w:t>（c）</w:t>
      </w:r>
      <w:r>
        <w:rPr>
          <w:rFonts w:hint="eastAsia"/>
          <w:szCs w:val="21"/>
        </w:rPr>
        <w:t>信用估值调整和中央</w:t>
      </w:r>
      <w:r>
        <w:rPr>
          <w:szCs w:val="21"/>
        </w:rPr>
        <w:t>交易对手风险加权资产</w:t>
      </w:r>
      <w:r>
        <w:rPr>
          <w:rFonts w:hint="eastAsia"/>
        </w:rPr>
        <w:t>计算表(权重法)</w:t>
      </w:r>
      <w:r>
        <w:rPr>
          <w:rFonts w:hint="eastAsia"/>
          <w:bCs/>
          <w:szCs w:val="21"/>
        </w:rPr>
        <w:t>》表包括两部分，第Ⅰ部分是信用估值调整风险加权资产计算表，第Ⅱ部分是中央交易对手风险加权资产（权重法）计算表。</w:t>
      </w:r>
    </w:p>
    <w:p>
      <w:pPr>
        <w:spacing w:line="440" w:lineRule="exact"/>
        <w:ind w:firstLine="421" w:firstLineChars="200"/>
        <w:rPr>
          <w:b/>
          <w:szCs w:val="21"/>
        </w:rPr>
      </w:pPr>
      <w:r>
        <w:rPr>
          <w:rFonts w:hint="eastAsia"/>
          <w:b/>
          <w:szCs w:val="21"/>
        </w:rPr>
        <w:t>第Ⅰ部分</w:t>
      </w:r>
      <w:r>
        <w:rPr>
          <w:b/>
          <w:szCs w:val="21"/>
        </w:rPr>
        <w:t>：信用估值调整风险加权资产计算表</w:t>
      </w:r>
    </w:p>
    <w:p>
      <w:pPr>
        <w:pStyle w:val="47"/>
        <w:spacing w:line="480" w:lineRule="exact"/>
        <w:ind w:firstLine="420" w:firstLineChars="200"/>
        <w:jc w:val="both"/>
        <w:rPr>
          <w:rFonts w:ascii="Times New Roman" w:hAnsi="Times New Roman" w:cs="Times New Roman"/>
          <w:bCs/>
          <w:color w:val="auto"/>
          <w:kern w:val="2"/>
          <w:sz w:val="21"/>
          <w:szCs w:val="21"/>
        </w:rPr>
      </w:pPr>
      <w:r>
        <w:rPr>
          <w:rFonts w:hint="eastAsia" w:ascii="Times New Roman" w:hAnsi="Times New Roman" w:cs="Times New Roman"/>
          <w:bCs/>
          <w:color w:val="auto"/>
          <w:kern w:val="2"/>
          <w:sz w:val="21"/>
          <w:szCs w:val="21"/>
        </w:rPr>
        <w:t>信用估值调整风险是指交易对手信用状况恶化、信用利差扩大导致商业银行衍生工具交易发生损失的风险。根据《办法》的相关要求，填报机构应根据逐笔交易信息和对应的对冲工具来计算信用估值调整风险加权资产。填报机构无需计量证券融资交易的信用估值调整资本要求，其中，证券融资交易的范围见《办法》附件9第一部分（五）。</w:t>
      </w:r>
    </w:p>
    <w:p>
      <w:pPr>
        <w:spacing w:line="440" w:lineRule="exact"/>
        <w:ind w:firstLine="420" w:firstLineChars="200"/>
        <w:rPr>
          <w:bCs/>
          <w:szCs w:val="21"/>
        </w:rPr>
      </w:pPr>
      <w:r>
        <w:rPr>
          <w:rFonts w:hint="eastAsia"/>
          <w:bCs/>
          <w:szCs w:val="21"/>
        </w:rPr>
        <w:t>对于证券融资交易信用估值调整风险较大的商业银行，国家金融监督管理总局有权要求其额外计提该类业务的信用估值调整风险资本。</w:t>
      </w:r>
    </w:p>
    <w:p>
      <w:pPr>
        <w:pStyle w:val="47"/>
        <w:spacing w:line="480" w:lineRule="exact"/>
        <w:ind w:firstLine="420" w:firstLineChars="200"/>
        <w:jc w:val="both"/>
        <w:rPr>
          <w:rFonts w:ascii="Times New Roman" w:hAnsi="Times New Roman" w:cs="Times New Roman"/>
          <w:bCs/>
          <w:color w:val="auto"/>
          <w:kern w:val="2"/>
          <w:sz w:val="21"/>
          <w:szCs w:val="21"/>
        </w:rPr>
      </w:pPr>
      <w:r>
        <w:rPr>
          <w:rFonts w:hint="eastAsia" w:ascii="Times New Roman" w:hAnsi="Times New Roman" w:cs="Times New Roman"/>
          <w:bCs/>
          <w:color w:val="auto"/>
          <w:kern w:val="2"/>
          <w:sz w:val="21"/>
          <w:szCs w:val="21"/>
        </w:rPr>
        <w:t>填报机构非合格中央交易对手衍生工具名义金额合计小于或等于8000亿元的，可采用简化方法，即取交易对手违约风险资本要求作为其信用估值调整资本要求。在此情况下，不认可信用估值调整对冲影响。商业银行如变更信用估值调整风险计量方法，应经国家金融监督管理总局或其派出机构认可。</w:t>
      </w:r>
    </w:p>
    <w:p>
      <w:pPr>
        <w:spacing w:line="440" w:lineRule="exact"/>
        <w:ind w:firstLine="420" w:firstLineChars="200"/>
        <w:rPr>
          <w:bCs/>
          <w:szCs w:val="21"/>
        </w:rPr>
      </w:pPr>
      <w:r>
        <w:rPr>
          <w:rFonts w:hint="eastAsia"/>
          <w:bCs/>
          <w:szCs w:val="21"/>
        </w:rPr>
        <w:t>信用估值调整资本要求的计算分为简化版和完整版。存在信用估值调整风险合格对冲的填报机构可适用完整版。</w:t>
      </w:r>
    </w:p>
    <w:p>
      <w:pPr>
        <w:pStyle w:val="47"/>
        <w:numPr>
          <w:ilvl w:val="0"/>
          <w:numId w:val="1"/>
        </w:numPr>
        <w:spacing w:line="480" w:lineRule="exact"/>
        <w:ind w:firstLine="420" w:firstLineChars="200"/>
        <w:jc w:val="both"/>
        <w:rPr>
          <w:rFonts w:ascii="Times New Roman" w:hAnsi="Times New Roman" w:cs="Times New Roman"/>
          <w:color w:val="auto"/>
          <w:kern w:val="2"/>
          <w:sz w:val="21"/>
          <w:szCs w:val="21"/>
        </w:rPr>
      </w:pPr>
      <w:r>
        <w:rPr>
          <w:rFonts w:ascii="Times New Roman" w:hAnsi="Times New Roman" w:cs="Times New Roman"/>
          <w:color w:val="auto"/>
          <w:kern w:val="2"/>
          <w:sz w:val="21"/>
          <w:szCs w:val="21"/>
        </w:rPr>
        <w:t>信用估值调整</w:t>
      </w:r>
      <w:r>
        <w:rPr>
          <w:rFonts w:hint="eastAsia" w:ascii="Times New Roman" w:hAnsi="Times New Roman" w:cs="Times New Roman"/>
          <w:color w:val="auto"/>
          <w:kern w:val="2"/>
          <w:sz w:val="21"/>
          <w:szCs w:val="21"/>
        </w:rPr>
        <w:t>简化版</w:t>
      </w:r>
      <w:r>
        <w:rPr>
          <w:rFonts w:ascii="Times New Roman" w:hAnsi="Times New Roman" w:cs="Times New Roman"/>
          <w:color w:val="auto"/>
          <w:kern w:val="2"/>
          <w:sz w:val="21"/>
          <w:szCs w:val="21"/>
        </w:rPr>
        <w:t>风险加权资产的计算公式</w:t>
      </w:r>
    </w:p>
    <w:p>
      <w:pPr>
        <w:pStyle w:val="47"/>
        <w:spacing w:line="480" w:lineRule="exact"/>
        <w:ind w:firstLine="420" w:firstLineChars="200"/>
        <w:jc w:val="both"/>
        <w:rPr>
          <w:rFonts w:ascii="宋体" w:hAnsi="宋体" w:cs="宋体"/>
          <w:sz w:val="21"/>
          <w:szCs w:val="21"/>
        </w:rPr>
      </w:pPr>
      <w:r>
        <w:rPr>
          <w:rFonts w:hint="eastAsia" w:ascii="宋体" w:hAnsi="宋体" w:cs="宋体"/>
          <w:sz w:val="21"/>
          <w:szCs w:val="21"/>
        </w:rPr>
        <w:t>[1.简化版]</w:t>
      </w:r>
    </w:p>
    <w:p>
      <w:pPr>
        <w:pStyle w:val="47"/>
        <w:spacing w:line="480" w:lineRule="exact"/>
        <w:ind w:firstLine="420" w:firstLineChars="200"/>
        <w:jc w:val="both"/>
        <w:rPr>
          <w:rFonts w:ascii="宋体" w:hAnsi="宋体" w:cs="宋体"/>
          <w:color w:val="auto"/>
          <w:kern w:val="2"/>
          <w:sz w:val="21"/>
          <w:szCs w:val="21"/>
        </w:rPr>
      </w:pPr>
      <w:r>
        <w:rPr>
          <w:rFonts w:hint="eastAsia" w:ascii="宋体" w:hAnsi="宋体" w:cs="宋体"/>
          <w:sz w:val="21"/>
          <w:szCs w:val="21"/>
        </w:rPr>
        <w:t>（1）</w:t>
      </w:r>
      <w:r>
        <w:rPr>
          <w:rFonts w:hint="eastAsia" w:ascii="Times New Roman" w:hAnsi="Times New Roman" w:cs="Times New Roman"/>
          <w:bCs/>
          <w:color w:val="auto"/>
          <w:kern w:val="2"/>
          <w:sz w:val="21"/>
          <w:szCs w:val="21"/>
        </w:rPr>
        <w:t>填报机构</w:t>
      </w:r>
      <w:r>
        <w:rPr>
          <w:rFonts w:hint="eastAsia" w:ascii="宋体" w:hAnsi="宋体" w:cs="宋体"/>
          <w:sz w:val="21"/>
          <w:szCs w:val="21"/>
        </w:rPr>
        <w:t>应采用以下公式计算信用估值调整风险加权资</w:t>
      </w:r>
      <w:r>
        <w:rPr>
          <w:rFonts w:hint="eastAsia" w:ascii="宋体" w:hAnsi="宋体" w:cs="宋体"/>
          <w:color w:val="auto"/>
          <w:kern w:val="2"/>
          <w:sz w:val="21"/>
          <w:szCs w:val="21"/>
        </w:rPr>
        <w:t>产：</w:t>
      </w:r>
    </w:p>
    <w:p>
      <w:pPr>
        <w:pStyle w:val="47"/>
        <w:spacing w:line="480" w:lineRule="exact"/>
        <w:ind w:firstLine="480" w:firstLineChars="200"/>
        <w:jc w:val="center"/>
        <w:rPr>
          <w:rFonts w:ascii="Times New Roman" w:hAnsi="Times New Roman" w:cs="Times New Roman"/>
          <w:i/>
        </w:rPr>
      </w:pPr>
      <m:oMathPara>
        <m:oMath>
          <m:r>
            <m:rPr/>
            <w:rPr>
              <w:rFonts w:ascii="Cambria Math" w:hAnsi="Cambria Math" w:cs="Times New Roman"/>
            </w:rPr>
            <m:t>CVA</m:t>
          </m:r>
          <m:r>
            <m:rPr>
              <m:sty m:val="p"/>
            </m:rPr>
            <w:rPr>
              <w:rFonts w:ascii="Cambria Math" w:hAnsi="Cambria Math" w:cs="Times New Roman"/>
            </w:rPr>
            <m:t>风险加权资产</m:t>
          </m:r>
          <m:r>
            <m:rPr/>
            <w:rPr>
              <w:rFonts w:ascii="Cambria Math" w:hAnsi="Cambria Math" w:cs="Times New Roman"/>
            </w:rPr>
            <m:t>=12.5×0.65×</m:t>
          </m:r>
          <m:sSub>
            <m:sSubPr>
              <m:ctrlPr>
                <w:rPr>
                  <w:rFonts w:ascii="Cambria Math" w:hAnsi="Cambria Math" w:cs="Times New Roman"/>
                  <w:i/>
                </w:rPr>
              </m:ctrlPr>
            </m:sSubPr>
            <m:e>
              <m:r>
                <m:rPr/>
                <w:rPr>
                  <w:rFonts w:ascii="Cambria Math" w:hAnsi="Cambria Math" w:cs="Times New Roman"/>
                </w:rPr>
                <m:t>K</m:t>
              </m:r>
              <m:ctrlPr>
                <w:rPr>
                  <w:rFonts w:ascii="Cambria Math" w:hAnsi="Cambria Math" w:cs="Times New Roman"/>
                  <w:i/>
                </w:rPr>
              </m:ctrlPr>
            </m:e>
            <m:sub>
              <m:r>
                <m:rPr/>
                <w:rPr>
                  <w:rFonts w:ascii="Cambria Math" w:hAnsi="Cambria Math" w:cs="Times New Roman"/>
                </w:rPr>
                <m:t>reduced</m:t>
              </m:r>
              <m:ctrlPr>
                <w:rPr>
                  <w:rFonts w:ascii="Cambria Math" w:hAnsi="Cambria Math" w:cs="Times New Roman"/>
                  <w:i/>
                </w:rPr>
              </m:ctrlPr>
            </m:sub>
          </m:sSub>
        </m:oMath>
      </m:oMathPara>
    </w:p>
    <w:p>
      <w:pPr>
        <w:pStyle w:val="47"/>
        <w:spacing w:line="480" w:lineRule="exact"/>
        <w:ind w:firstLine="480" w:firstLineChars="200"/>
        <w:rPr>
          <w:rFonts w:ascii="宋体" w:hAnsi="宋体" w:cs="宋体"/>
          <w:color w:val="auto"/>
          <w:kern w:val="2"/>
          <w:sz w:val="21"/>
          <w:szCs w:val="21"/>
        </w:rPr>
      </w:pPr>
      <w:r>
        <w:drawing>
          <wp:anchor distT="0" distB="0" distL="114300" distR="114300" simplePos="0" relativeHeight="251659264" behindDoc="0" locked="0" layoutInCell="1" allowOverlap="1">
            <wp:simplePos x="0" y="0"/>
            <wp:positionH relativeFrom="column">
              <wp:posOffset>1312545</wp:posOffset>
            </wp:positionH>
            <wp:positionV relativeFrom="paragraph">
              <wp:posOffset>107950</wp:posOffset>
            </wp:positionV>
            <wp:extent cx="2805430" cy="360680"/>
            <wp:effectExtent l="0" t="0" r="13970" b="1270"/>
            <wp:wrapTopAndBottom/>
            <wp:docPr id="1"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6"/>
                    <pic:cNvPicPr>
                      <a:picLocks noChangeAspect="1"/>
                    </pic:cNvPicPr>
                  </pic:nvPicPr>
                  <pic:blipFill>
                    <a:blip r:embed="rId5"/>
                    <a:stretch>
                      <a:fillRect/>
                    </a:stretch>
                  </pic:blipFill>
                  <pic:spPr>
                    <a:xfrm>
                      <a:off x="0" y="0"/>
                      <a:ext cx="2805430" cy="360680"/>
                    </a:xfrm>
                    <a:prstGeom prst="rect">
                      <a:avLst/>
                    </a:prstGeom>
                    <a:noFill/>
                    <a:ln>
                      <a:noFill/>
                    </a:ln>
                  </pic:spPr>
                </pic:pic>
              </a:graphicData>
            </a:graphic>
          </wp:anchor>
        </w:drawing>
      </w:r>
      <w:r>
        <w:rPr>
          <w:rFonts w:hint="eastAsia" w:ascii="宋体" w:hAnsi="宋体" w:cs="宋体"/>
          <w:color w:val="auto"/>
          <w:kern w:val="2"/>
          <w:sz w:val="21"/>
          <w:szCs w:val="21"/>
        </w:rPr>
        <w:t>其中：</w:t>
      </w:r>
    </w:p>
    <w:p>
      <w:pPr>
        <w:pStyle w:val="47"/>
        <w:spacing w:line="480" w:lineRule="exact"/>
        <w:ind w:firstLine="420" w:firstLineChars="200"/>
        <w:jc w:val="both"/>
        <w:rPr>
          <w:rFonts w:ascii="宋体" w:hAnsi="宋体" w:cs="宋体"/>
          <w:color w:val="auto"/>
          <w:kern w:val="2"/>
          <w:sz w:val="21"/>
          <w:szCs w:val="21"/>
        </w:rPr>
      </w:pPr>
      <w:r>
        <w:rPr>
          <w:rFonts w:hint="eastAsia" w:ascii="宋体" w:hAnsi="宋体" w:cs="宋体"/>
          <w:position w:val="-12"/>
          <w:sz w:val="21"/>
          <w:szCs w:val="21"/>
        </w:rPr>
        <w:object>
          <v:shape id="_x0000_i1025" o:spt="75" type="#_x0000_t75" style="height:19.2pt;width:40.8pt;" o:ole="t" filled="f" o:preferrelative="t" stroked="f" coordsize="21600,21600">
            <v:path/>
            <v:fill on="f" focussize="0,0"/>
            <v:stroke on="f" joinstyle="miter"/>
            <v:imagedata r:id="rId7" o:title=""/>
            <o:lock v:ext="edit" aspectratio="t"/>
            <w10:wrap type="none"/>
            <w10:anchorlock/>
          </v:shape>
          <o:OLEObject Type="Embed" ProgID="Equation.DSMT4" ShapeID="_x0000_i1025" DrawAspect="Content" ObjectID="_1468075725" r:id="rId6">
            <o:LockedField>false</o:LockedField>
          </o:OLEObject>
        </w:object>
      </w:r>
      <w:r>
        <w:rPr>
          <w:rFonts w:hint="eastAsia" w:ascii="宋体" w:hAnsi="宋体" w:cs="宋体"/>
          <w:color w:val="auto"/>
          <w:kern w:val="2"/>
          <w:sz w:val="21"/>
          <w:szCs w:val="21"/>
        </w:rPr>
        <w:t>是单独考虑交易对手c的信用估值调整资本要求。</w:t>
      </w:r>
    </w:p>
    <w:p>
      <w:pPr>
        <w:pStyle w:val="47"/>
        <w:spacing w:line="480" w:lineRule="exact"/>
        <w:ind w:firstLine="420" w:firstLineChars="200"/>
        <w:jc w:val="both"/>
        <w:rPr>
          <w:rFonts w:ascii="宋体" w:hAnsi="宋体" w:cs="宋体"/>
          <w:color w:val="auto"/>
          <w:kern w:val="2"/>
          <w:sz w:val="21"/>
          <w:szCs w:val="21"/>
        </w:rPr>
      </w:pPr>
      <w:r>
        <w:rPr>
          <w:rFonts w:hint="eastAsia" w:ascii="宋体" w:hAnsi="宋体" w:cs="宋体"/>
          <w:position w:val="-10"/>
          <w:sz w:val="21"/>
          <w:szCs w:val="21"/>
        </w:rPr>
        <w:object>
          <v:shape id="_x0000_i1026" o:spt="75" type="#_x0000_t75" style="height:13.8pt;width:12.6pt;" o:ole="t" filled="f" o:preferrelative="t" stroked="f" coordsize="21600,21600">
            <v:path/>
            <v:fill on="f" focussize="0,0"/>
            <v:stroke on="f" joinstyle="miter"/>
            <v:imagedata r:id="rId9" o:title=""/>
            <o:lock v:ext="edit" aspectratio="t"/>
            <w10:wrap type="none"/>
            <w10:anchorlock/>
          </v:shape>
          <o:OLEObject Type="Embed" ProgID="Equation.DSMT4" ShapeID="_x0000_i1026" DrawAspect="Content" ObjectID="_1468075726" r:id="rId8">
            <o:LockedField>false</o:LockedField>
          </o:OLEObject>
        </w:object>
      </w:r>
      <w:r>
        <w:rPr>
          <w:rFonts w:hint="eastAsia" w:ascii="宋体" w:hAnsi="宋体" w:cs="宋体"/>
          <w:color w:val="auto"/>
          <w:kern w:val="2"/>
          <w:sz w:val="21"/>
          <w:szCs w:val="21"/>
        </w:rPr>
        <w:t>是监管相关系数，</w:t>
      </w:r>
      <w:r>
        <w:rPr>
          <w:rFonts w:hint="eastAsia" w:ascii="宋体" w:hAnsi="宋体" w:cs="宋体"/>
          <w:position w:val="-10"/>
          <w:sz w:val="21"/>
          <w:szCs w:val="21"/>
        </w:rPr>
        <w:object>
          <v:shape id="_x0000_i1027" o:spt="75" type="#_x0000_t75" style="height:13.8pt;width:12.6pt;" o:ole="t" filled="f" o:preferrelative="t" stroked="f" coordsize="21600,21600">
            <v:path/>
            <v:fill on="f" focussize="0,0"/>
            <v:stroke on="f" joinstyle="miter"/>
            <v:imagedata r:id="rId11" o:title=""/>
            <o:lock v:ext="edit" aspectratio="t"/>
            <w10:wrap type="none"/>
            <w10:anchorlock/>
          </v:shape>
          <o:OLEObject Type="Embed" ProgID="Equation.DSMT4" ShapeID="_x0000_i1027" DrawAspect="Content" ObjectID="_1468075727" r:id="rId10">
            <o:LockedField>false</o:LockedField>
          </o:OLEObject>
        </w:object>
      </w:r>
      <w:r>
        <w:rPr>
          <w:rFonts w:hint="eastAsia" w:ascii="宋体" w:hAnsi="宋体" w:cs="宋体"/>
          <w:color w:val="auto"/>
          <w:kern w:val="2"/>
          <w:sz w:val="21"/>
          <w:szCs w:val="21"/>
        </w:rPr>
        <w:t>=0.5。</w:t>
      </w:r>
    </w:p>
    <w:p>
      <w:pPr>
        <w:pStyle w:val="47"/>
        <w:spacing w:line="480" w:lineRule="exact"/>
        <w:ind w:firstLine="420" w:firstLineChars="200"/>
        <w:jc w:val="both"/>
        <w:rPr>
          <w:rFonts w:ascii="宋体" w:hAnsi="宋体" w:cs="宋体"/>
          <w:color w:val="auto"/>
          <w:kern w:val="2"/>
          <w:sz w:val="21"/>
          <w:szCs w:val="21"/>
        </w:rPr>
      </w:pPr>
      <w:r>
        <w:rPr>
          <w:rFonts w:hint="eastAsia" w:ascii="宋体" w:hAnsi="宋体" w:cs="宋体"/>
          <w:color w:val="auto"/>
          <w:kern w:val="2"/>
          <w:sz w:val="21"/>
          <w:szCs w:val="21"/>
        </w:rPr>
        <w:t>（2）单独考虑交易对手c的信用估值调整资本要求</w:t>
      </w:r>
      <w:r>
        <w:rPr>
          <w:rFonts w:hint="eastAsia" w:ascii="宋体" w:hAnsi="宋体" w:cs="宋体"/>
          <w:position w:val="-12"/>
          <w:sz w:val="21"/>
          <w:szCs w:val="21"/>
        </w:rPr>
        <w:object>
          <v:shape id="_x0000_i1028" o:spt="75" type="#_x0000_t75" style="height:19.2pt;width:40.8pt;" o:ole="t" filled="f" o:preferrelative="t" stroked="f" coordsize="21600,21600">
            <v:path/>
            <v:fill on="f" focussize="0,0"/>
            <v:stroke on="f" joinstyle="miter"/>
            <v:imagedata r:id="rId13" o:title=""/>
            <o:lock v:ext="edit" aspectratio="t"/>
            <w10:wrap type="none"/>
            <w10:anchorlock/>
          </v:shape>
          <o:OLEObject Type="Embed" ProgID="Equation.DSMT4" ShapeID="_x0000_i1028" DrawAspect="Content" ObjectID="_1468075728" r:id="rId12">
            <o:LockedField>false</o:LockedField>
          </o:OLEObject>
        </w:object>
      </w:r>
      <w:r>
        <w:rPr>
          <w:rFonts w:hint="eastAsia" w:ascii="宋体" w:hAnsi="宋体" w:cs="宋体"/>
          <w:color w:val="auto"/>
          <w:kern w:val="2"/>
          <w:sz w:val="21"/>
          <w:szCs w:val="21"/>
        </w:rPr>
        <w:t>计算公式如下：</w:t>
      </w:r>
    </w:p>
    <w:p>
      <w:pPr>
        <w:pStyle w:val="47"/>
        <w:ind w:firstLine="480" w:firstLineChars="200"/>
        <w:jc w:val="center"/>
        <w:rPr>
          <w:rFonts w:ascii="宋体" w:hAnsi="宋体" w:cs="宋体"/>
          <w:color w:val="auto"/>
          <w:kern w:val="2"/>
          <w:sz w:val="21"/>
          <w:szCs w:val="21"/>
        </w:rPr>
      </w:pPr>
      <w:r>
        <w:drawing>
          <wp:inline distT="0" distB="0" distL="114300" distR="114300">
            <wp:extent cx="2705735" cy="425450"/>
            <wp:effectExtent l="0" t="0" r="18415" b="12700"/>
            <wp:docPr id="2"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7"/>
                    <pic:cNvPicPr>
                      <a:picLocks noChangeAspect="1"/>
                    </pic:cNvPicPr>
                  </pic:nvPicPr>
                  <pic:blipFill>
                    <a:blip r:embed="rId14"/>
                    <a:stretch>
                      <a:fillRect/>
                    </a:stretch>
                  </pic:blipFill>
                  <pic:spPr>
                    <a:xfrm>
                      <a:off x="0" y="0"/>
                      <a:ext cx="2705735" cy="425450"/>
                    </a:xfrm>
                    <a:prstGeom prst="rect">
                      <a:avLst/>
                    </a:prstGeom>
                    <a:noFill/>
                    <a:ln>
                      <a:noFill/>
                    </a:ln>
                  </pic:spPr>
                </pic:pic>
              </a:graphicData>
            </a:graphic>
          </wp:inline>
        </w:drawing>
      </w:r>
    </w:p>
    <w:p>
      <w:pPr>
        <w:pStyle w:val="47"/>
        <w:spacing w:line="440" w:lineRule="exact"/>
        <w:ind w:firstLine="420" w:firstLineChars="200"/>
        <w:jc w:val="both"/>
        <w:rPr>
          <w:rFonts w:ascii="宋体" w:hAnsi="宋体" w:cs="宋体"/>
          <w:color w:val="auto"/>
          <w:kern w:val="2"/>
          <w:sz w:val="21"/>
          <w:szCs w:val="21"/>
        </w:rPr>
      </w:pPr>
      <w:r>
        <w:rPr>
          <w:rFonts w:hint="eastAsia" w:ascii="宋体" w:hAnsi="宋体" w:cs="宋体"/>
          <w:color w:val="auto"/>
          <w:kern w:val="2"/>
          <w:sz w:val="21"/>
          <w:szCs w:val="21"/>
        </w:rPr>
        <w:t>其中：</w:t>
      </w:r>
    </w:p>
    <w:p>
      <w:pPr>
        <w:pStyle w:val="47"/>
        <w:spacing w:line="440" w:lineRule="exact"/>
        <w:ind w:firstLine="420" w:firstLineChars="200"/>
        <w:jc w:val="both"/>
        <w:rPr>
          <w:rFonts w:ascii="宋体" w:hAnsi="宋体" w:cs="宋体"/>
          <w:color w:val="auto"/>
          <w:kern w:val="2"/>
          <w:sz w:val="21"/>
          <w:szCs w:val="21"/>
        </w:rPr>
      </w:pPr>
      <w:r>
        <w:rPr>
          <w:rFonts w:hint="eastAsia" w:ascii="宋体" w:hAnsi="宋体" w:cs="宋体"/>
          <w:position w:val="-12"/>
          <w:sz w:val="21"/>
          <w:szCs w:val="21"/>
        </w:rPr>
        <w:object>
          <v:shape id="_x0000_i1029" o:spt="75" type="#_x0000_t75" style="height:18.6pt;width:26.4pt;" o:ole="t" filled="f" o:preferrelative="t" stroked="f" coordsize="21600,21600">
            <v:path/>
            <v:fill on="f" focussize="0,0"/>
            <v:stroke on="f" joinstyle="miter"/>
            <v:imagedata r:id="rId16" o:title=""/>
            <o:lock v:ext="edit" aspectratio="t"/>
            <w10:wrap type="none"/>
            <w10:anchorlock/>
          </v:shape>
          <o:OLEObject Type="Embed" ProgID="Equation.DSMT4" ShapeID="_x0000_i1029" DrawAspect="Content" ObjectID="_1468075729" r:id="rId15">
            <o:LockedField>false</o:LockedField>
          </o:OLEObject>
        </w:object>
      </w:r>
      <w:r>
        <w:rPr>
          <w:rFonts w:hint="eastAsia" w:ascii="宋体" w:hAnsi="宋体" w:cs="宋体"/>
          <w:color w:val="auto"/>
          <w:kern w:val="2"/>
          <w:sz w:val="21"/>
          <w:szCs w:val="21"/>
        </w:rPr>
        <w:t>是交易对手c的风险权重，基于交易对手所在行业和信用水平综合确定。</w:t>
      </w:r>
    </w:p>
    <w:p>
      <w:pPr>
        <w:pStyle w:val="47"/>
        <w:spacing w:line="440" w:lineRule="exact"/>
        <w:ind w:firstLine="420" w:firstLineChars="200"/>
        <w:jc w:val="both"/>
        <w:rPr>
          <w:rFonts w:ascii="宋体" w:hAnsi="宋体" w:cs="宋体"/>
          <w:color w:val="auto"/>
          <w:kern w:val="2"/>
          <w:sz w:val="21"/>
          <w:szCs w:val="21"/>
        </w:rPr>
      </w:pPr>
      <w:r>
        <w:rPr>
          <w:rFonts w:hint="eastAsia" w:ascii="宋体" w:hAnsi="宋体" w:cs="宋体"/>
          <w:position w:val="-14"/>
          <w:sz w:val="21"/>
          <w:szCs w:val="21"/>
        </w:rPr>
        <w:object>
          <v:shape id="_x0000_i1030" o:spt="75" type="#_x0000_t75" style="height:16.2pt;width:25.8pt;" o:ole="t" filled="f" o:preferrelative="t" stroked="f" coordsize="21600,21600">
            <v:path/>
            <v:fill on="f" focussize="0,0"/>
            <v:stroke on="f" joinstyle="miter"/>
            <v:imagedata r:id="rId18" o:title=""/>
            <o:lock v:ext="edit" aspectratio="t"/>
            <w10:wrap type="none"/>
            <w10:anchorlock/>
          </v:shape>
          <o:OLEObject Type="Embed" ProgID="Equation.DSMT4" ShapeID="_x0000_i1030" DrawAspect="Content" ObjectID="_1468075730" r:id="rId17">
            <o:LockedField>false</o:LockedField>
          </o:OLEObject>
        </w:object>
      </w:r>
      <w:r>
        <w:rPr>
          <w:rFonts w:hint="eastAsia" w:ascii="宋体" w:hAnsi="宋体" w:cs="宋体"/>
          <w:color w:val="auto"/>
          <w:kern w:val="2"/>
          <w:sz w:val="21"/>
          <w:szCs w:val="21"/>
        </w:rPr>
        <w:t>是净额结算组合NS的有效期限，详见</w:t>
      </w:r>
      <w:r>
        <w:rPr>
          <w:rFonts w:hint="eastAsia" w:ascii="Times New Roman" w:hAnsi="Times New Roman" w:cs="Times New Roman"/>
          <w:bCs/>
          <w:color w:val="auto"/>
          <w:kern w:val="2"/>
          <w:sz w:val="21"/>
          <w:szCs w:val="21"/>
        </w:rPr>
        <w:t>《办法》</w:t>
      </w:r>
      <w:r>
        <w:rPr>
          <w:rFonts w:hint="eastAsia" w:ascii="宋体" w:hAnsi="宋体" w:cs="宋体"/>
          <w:sz w:val="21"/>
          <w:szCs w:val="21"/>
        </w:rPr>
        <w:t>附件5第六部分（六），且</w:t>
      </w:r>
      <w:r>
        <w:rPr>
          <w:rFonts w:hint="eastAsia" w:ascii="宋体" w:hAnsi="宋体" w:cs="宋体"/>
          <w:position w:val="-14"/>
          <w:sz w:val="21"/>
          <w:szCs w:val="21"/>
        </w:rPr>
        <w:object>
          <v:shape id="_x0000_i1031" o:spt="75" type="#_x0000_t75" style="height:19.8pt;width:31.2pt;" o:ole="t" filled="f" o:preferrelative="t" stroked="f" coordsize="21600,21600">
            <v:path/>
            <v:fill on="f" focussize="0,0"/>
            <v:stroke on="f" joinstyle="miter"/>
            <v:imagedata r:id="rId20" o:title=""/>
            <o:lock v:ext="edit" aspectratio="t"/>
            <w10:wrap type="none"/>
            <w10:anchorlock/>
          </v:shape>
          <o:OLEObject Type="Embed" ProgID="Equation.DSMT4" ShapeID="_x0000_i1031" DrawAspect="Content" ObjectID="_1468075731" r:id="rId19">
            <o:LockedField>false</o:LockedField>
          </o:OLEObject>
        </w:object>
      </w:r>
      <w:r>
        <w:rPr>
          <w:rFonts w:hint="eastAsia" w:ascii="宋体" w:hAnsi="宋体" w:cs="宋体"/>
          <w:sz w:val="21"/>
          <w:szCs w:val="21"/>
        </w:rPr>
        <w:t>不受上限（5年）和下限（1年）的限制</w:t>
      </w:r>
      <w:r>
        <w:rPr>
          <w:rFonts w:hint="eastAsia" w:ascii="宋体" w:hAnsi="宋体" w:cs="宋体"/>
          <w:color w:val="auto"/>
          <w:kern w:val="2"/>
          <w:sz w:val="21"/>
          <w:szCs w:val="21"/>
        </w:rPr>
        <w:t>。对于双边非净额结算交易，单笔交易视为一个净额结算组合。</w:t>
      </w:r>
    </w:p>
    <w:p>
      <w:pPr>
        <w:pStyle w:val="47"/>
        <w:spacing w:line="440" w:lineRule="exact"/>
        <w:ind w:firstLine="420" w:firstLineChars="200"/>
        <w:rPr>
          <w:rFonts w:ascii="宋体" w:hAnsi="宋体" w:cs="宋体"/>
          <w:color w:val="auto"/>
          <w:kern w:val="2"/>
          <w:sz w:val="21"/>
          <w:szCs w:val="21"/>
        </w:rPr>
      </w:pPr>
      <w:r>
        <w:rPr>
          <w:rFonts w:hint="eastAsia" w:ascii="宋体" w:hAnsi="宋体" w:cs="宋体"/>
          <w:position w:val="-14"/>
          <w:sz w:val="21"/>
          <w:szCs w:val="21"/>
        </w:rPr>
        <w:object>
          <v:shape id="_x0000_i1032" o:spt="75" type="#_x0000_t75" style="height:16.2pt;width:37.8pt;" o:ole="t" filled="f" o:preferrelative="t" stroked="f" coordsize="21600,21600">
            <v:path/>
            <v:fill on="f" focussize="0,0"/>
            <v:stroke on="f" joinstyle="miter"/>
            <v:imagedata r:id="rId22" o:title=""/>
            <o:lock v:ext="edit" aspectratio="t"/>
            <w10:wrap type="none"/>
            <w10:anchorlock/>
          </v:shape>
          <o:OLEObject Type="Embed" ProgID="Equation.DSMT4" ShapeID="_x0000_i1032" DrawAspect="Content" ObjectID="_1468075732" r:id="rId21">
            <o:LockedField>false</o:LockedField>
          </o:OLEObject>
        </w:object>
      </w:r>
      <w:r>
        <w:rPr>
          <w:rFonts w:hint="eastAsia" w:ascii="宋体" w:hAnsi="宋体" w:cs="宋体"/>
          <w:color w:val="auto"/>
          <w:kern w:val="2"/>
          <w:sz w:val="21"/>
          <w:szCs w:val="21"/>
        </w:rPr>
        <w:t>是净额结算组合NS的违约风险暴露，计算方法与交易对手违约风险暴露计量规则一致，详见</w:t>
      </w:r>
      <w:r>
        <w:rPr>
          <w:rFonts w:hint="eastAsia" w:ascii="Times New Roman" w:hAnsi="Times New Roman" w:cs="Times New Roman"/>
          <w:bCs/>
          <w:color w:val="auto"/>
          <w:kern w:val="2"/>
          <w:sz w:val="21"/>
          <w:szCs w:val="21"/>
        </w:rPr>
        <w:t>《办法》</w:t>
      </w:r>
      <w:r>
        <w:rPr>
          <w:rFonts w:hint="eastAsia" w:ascii="宋体" w:hAnsi="宋体" w:cs="宋体"/>
          <w:color w:val="auto"/>
          <w:kern w:val="2"/>
          <w:sz w:val="21"/>
          <w:szCs w:val="21"/>
        </w:rPr>
        <w:t>附件9。</w:t>
      </w:r>
    </w:p>
    <w:p>
      <w:pPr>
        <w:pStyle w:val="47"/>
        <w:ind w:firstLine="480" w:firstLineChars="200"/>
        <w:jc w:val="both"/>
        <w:rPr>
          <w:rFonts w:ascii="宋体" w:hAnsi="宋体" w:cs="宋体"/>
          <w:sz w:val="21"/>
          <w:szCs w:val="21"/>
        </w:rPr>
      </w:pPr>
      <w:r>
        <w:drawing>
          <wp:anchor distT="0" distB="0" distL="114300" distR="114300" simplePos="0" relativeHeight="251660288" behindDoc="1" locked="0" layoutInCell="1" allowOverlap="1">
            <wp:simplePos x="0" y="0"/>
            <wp:positionH relativeFrom="column">
              <wp:posOffset>2279650</wp:posOffset>
            </wp:positionH>
            <wp:positionV relativeFrom="paragraph">
              <wp:posOffset>-22860</wp:posOffset>
            </wp:positionV>
            <wp:extent cx="628650" cy="365125"/>
            <wp:effectExtent l="0" t="0" r="0" b="15875"/>
            <wp:wrapTight wrapText="bothSides">
              <wp:wrapPolygon>
                <wp:start x="0" y="0"/>
                <wp:lineTo x="0" y="20285"/>
                <wp:lineTo x="20945" y="20285"/>
                <wp:lineTo x="20945" y="0"/>
                <wp:lineTo x="0" y="0"/>
              </wp:wrapPolygon>
            </wp:wrapTight>
            <wp:docPr id="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8"/>
                    <pic:cNvPicPr>
                      <a:picLocks noChangeAspect="1"/>
                    </pic:cNvPicPr>
                  </pic:nvPicPr>
                  <pic:blipFill>
                    <a:blip r:embed="rId23"/>
                    <a:stretch>
                      <a:fillRect/>
                    </a:stretch>
                  </pic:blipFill>
                  <pic:spPr>
                    <a:xfrm>
                      <a:off x="0" y="0"/>
                      <a:ext cx="628650" cy="365125"/>
                    </a:xfrm>
                    <a:prstGeom prst="rect">
                      <a:avLst/>
                    </a:prstGeom>
                    <a:noFill/>
                    <a:ln>
                      <a:noFill/>
                    </a:ln>
                  </pic:spPr>
                </pic:pic>
              </a:graphicData>
            </a:graphic>
          </wp:anchor>
        </w:drawing>
      </w:r>
      <w:r>
        <w:rPr>
          <w:rFonts w:hint="eastAsia" w:ascii="宋体" w:hAnsi="宋体" w:cs="宋体"/>
          <w:position w:val="-14"/>
          <w:sz w:val="21"/>
          <w:szCs w:val="21"/>
        </w:rPr>
        <w:object>
          <v:shape id="_x0000_i1033" o:spt="75" type="#_x0000_t75" style="height:16.2pt;width:30pt;" o:ole="t" filled="f" o:preferrelative="t" stroked="f" coordsize="21600,21600">
            <v:path/>
            <v:fill on="f" focussize="0,0"/>
            <v:stroke on="f" joinstyle="miter"/>
            <v:imagedata r:id="rId25" o:title=""/>
            <o:lock v:ext="edit" aspectratio="t"/>
            <w10:wrap type="none"/>
            <w10:anchorlock/>
          </v:shape>
          <o:OLEObject Type="Embed" ProgID="Equation.DSMT4" ShapeID="_x0000_i1033" DrawAspect="Content" ObjectID="_1468075733" r:id="rId24">
            <o:LockedField>false</o:LockedField>
          </o:OLEObject>
        </w:object>
      </w:r>
      <w:r>
        <w:rPr>
          <w:rFonts w:hint="eastAsia" w:ascii="宋体" w:hAnsi="宋体" w:cs="宋体"/>
          <w:sz w:val="21"/>
          <w:szCs w:val="21"/>
        </w:rPr>
        <w:t xml:space="preserve">是监管折现因子, 公式为 </w:t>
      </w:r>
    </w:p>
    <w:p>
      <w:pPr>
        <w:pStyle w:val="47"/>
        <w:ind w:firstLine="420" w:firstLineChars="200"/>
        <w:jc w:val="both"/>
        <w:rPr>
          <w:rFonts w:ascii="宋体" w:hAnsi="宋体" w:cs="宋体"/>
          <w:color w:val="auto"/>
          <w:kern w:val="2"/>
          <w:sz w:val="21"/>
          <w:szCs w:val="21"/>
        </w:rPr>
      </w:pPr>
      <w:r>
        <w:rPr>
          <w:rFonts w:hint="eastAsia" w:ascii="宋体" w:hAnsi="宋体" w:cs="宋体"/>
          <w:position w:val="-6"/>
          <w:sz w:val="21"/>
          <w:szCs w:val="21"/>
        </w:rPr>
        <w:object>
          <v:shape id="_x0000_i1034" o:spt="75" type="#_x0000_t75" style="height:12.6pt;width:13.8pt;" o:ole="t" filled="f" o:preferrelative="t" stroked="f" coordsize="21600,21600">
            <v:path/>
            <v:fill on="f" focussize="0,0"/>
            <v:stroke on="f" joinstyle="miter"/>
            <v:imagedata r:id="rId27" o:title=""/>
            <o:lock v:ext="edit" aspectratio="t"/>
            <w10:wrap type="none"/>
            <w10:anchorlock/>
          </v:shape>
          <o:OLEObject Type="Embed" ProgID="Equation.DSMT4" ShapeID="_x0000_i1034" DrawAspect="Content" ObjectID="_1468075734" r:id="rId26">
            <o:LockedField>false</o:LockedField>
          </o:OLEObject>
        </w:object>
      </w:r>
      <w:r>
        <w:rPr>
          <w:rFonts w:hint="eastAsia" w:ascii="宋体" w:hAnsi="宋体" w:cs="宋体"/>
          <w:color w:val="auto"/>
          <w:kern w:val="2"/>
          <w:sz w:val="21"/>
          <w:szCs w:val="21"/>
        </w:rPr>
        <w:t>=1.4。</w:t>
      </w:r>
    </w:p>
    <w:p>
      <w:pPr>
        <w:pStyle w:val="47"/>
        <w:spacing w:line="440" w:lineRule="exact"/>
        <w:ind w:firstLine="420" w:firstLineChars="200"/>
        <w:jc w:val="both"/>
        <w:rPr>
          <w:rFonts w:ascii="宋体" w:hAnsi="宋体" w:cs="宋体"/>
          <w:color w:val="auto"/>
          <w:kern w:val="2"/>
          <w:sz w:val="21"/>
          <w:szCs w:val="21"/>
        </w:rPr>
      </w:pPr>
      <w:r>
        <w:rPr>
          <w:rFonts w:hint="eastAsia" w:ascii="宋体" w:hAnsi="宋体" w:cs="宋体"/>
          <w:color w:val="auto"/>
          <w:kern w:val="2"/>
          <w:sz w:val="21"/>
          <w:szCs w:val="21"/>
        </w:rPr>
        <w:t>（3）</w:t>
      </w:r>
      <w:r>
        <w:rPr>
          <w:rFonts w:hint="eastAsia" w:ascii="宋体" w:hAnsi="宋体" w:cs="宋体"/>
          <w:sz w:val="21"/>
          <w:szCs w:val="21"/>
        </w:rPr>
        <w:t>风险权重</w:t>
      </w:r>
      <w:r>
        <w:rPr>
          <w:rFonts w:hint="eastAsia" w:ascii="宋体" w:hAnsi="宋体" w:cs="宋体"/>
          <w:position w:val="-12"/>
          <w:sz w:val="21"/>
          <w:szCs w:val="21"/>
        </w:rPr>
        <w:object>
          <v:shape id="_x0000_i1035" o:spt="75" type="#_x0000_t75" style="height:18.6pt;width:26.4pt;" o:ole="t" filled="f" o:preferrelative="t" stroked="f" coordsize="21600,21600">
            <v:path/>
            <v:fill on="f" focussize="0,0"/>
            <v:stroke on="f" joinstyle="miter"/>
            <v:imagedata r:id="rId16" o:title=""/>
            <o:lock v:ext="edit" aspectratio="t"/>
            <w10:wrap type="none"/>
            <w10:anchorlock/>
          </v:shape>
          <o:OLEObject Type="Embed" ProgID="Equation.DSMT4" ShapeID="_x0000_i1035" DrawAspect="Content" ObjectID="_1468075735" r:id="rId28">
            <o:LockedField>false</o:LockedField>
          </o:OLEObject>
        </w:object>
      </w:r>
      <w:r>
        <w:rPr>
          <w:rFonts w:hint="eastAsia" w:ascii="宋体" w:hAnsi="宋体" w:cs="宋体"/>
          <w:color w:val="auto"/>
          <w:kern w:val="2"/>
          <w:sz w:val="21"/>
          <w:szCs w:val="21"/>
        </w:rPr>
        <w:t>如下表。其中，投资级别应符合</w:t>
      </w:r>
      <w:r>
        <w:rPr>
          <w:rFonts w:hint="eastAsia" w:ascii="Times New Roman" w:hAnsi="Times New Roman" w:cs="Times New Roman"/>
          <w:bCs/>
          <w:color w:val="auto"/>
          <w:kern w:val="2"/>
          <w:sz w:val="21"/>
          <w:szCs w:val="21"/>
        </w:rPr>
        <w:t>《办法》</w:t>
      </w:r>
      <w:r>
        <w:rPr>
          <w:rFonts w:hint="eastAsia" w:ascii="宋体" w:hAnsi="宋体" w:cs="宋体"/>
          <w:color w:val="auto"/>
          <w:kern w:val="2"/>
          <w:sz w:val="21"/>
          <w:szCs w:val="21"/>
        </w:rPr>
        <w:t>附件25标准，不满足投资级别标准的应认定为高收益级别。</w:t>
      </w:r>
    </w:p>
    <w:p>
      <w:pPr>
        <w:spacing w:line="480" w:lineRule="exact"/>
        <w:jc w:val="center"/>
        <w:rPr>
          <w:rFonts w:ascii="宋体" w:hAnsi="宋体" w:cs="宋体"/>
          <w:szCs w:val="21"/>
        </w:rPr>
      </w:pPr>
      <w:r>
        <w:rPr>
          <w:rFonts w:hint="eastAsia" w:ascii="宋体" w:hAnsi="宋体" w:cs="宋体"/>
          <w:b/>
          <w:szCs w:val="21"/>
        </w:rPr>
        <w:t>表1：风险权重</w:t>
      </w:r>
    </w:p>
    <w:tbl>
      <w:tblPr>
        <w:tblStyle w:val="21"/>
        <w:tblW w:w="0" w:type="auto"/>
        <w:tblInd w:w="-79" w:type="dxa"/>
        <w:tblBorders>
          <w:top w:val="single" w:color="000000" w:sz="6" w:space="0"/>
          <w:left w:val="single" w:color="000000" w:sz="6" w:space="0"/>
          <w:bottom w:val="single" w:color="auto" w:sz="4"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5380"/>
        <w:gridCol w:w="2020"/>
        <w:gridCol w:w="1822"/>
      </w:tblGrid>
      <w:tr>
        <w:tblPrEx>
          <w:tblBorders>
            <w:top w:val="single" w:color="000000" w:sz="6" w:space="0"/>
            <w:left w:val="single" w:color="000000" w:sz="6" w:space="0"/>
            <w:bottom w:val="single" w:color="auto" w:sz="4"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44" w:hRule="exact"/>
        </w:trPr>
        <w:tc>
          <w:tcPr>
            <w:tcW w:w="5380" w:type="dxa"/>
            <w:vMerge w:val="restart"/>
            <w:vAlign w:val="center"/>
          </w:tcPr>
          <w:p>
            <w:pPr>
              <w:pStyle w:val="48"/>
              <w:spacing w:line="360" w:lineRule="auto"/>
              <w:jc w:val="center"/>
              <w:rPr>
                <w:rFonts w:ascii="宋体" w:hAnsi="宋体" w:cs="宋体"/>
                <w:b/>
                <w:kern w:val="2"/>
                <w:sz w:val="21"/>
                <w:szCs w:val="21"/>
              </w:rPr>
            </w:pPr>
            <w:r>
              <w:rPr>
                <w:rFonts w:hint="eastAsia" w:ascii="宋体" w:hAnsi="宋体" w:cs="宋体"/>
                <w:b/>
                <w:kern w:val="2"/>
                <w:sz w:val="21"/>
                <w:szCs w:val="21"/>
              </w:rPr>
              <w:t>交易对手行业</w:t>
            </w:r>
          </w:p>
        </w:tc>
        <w:tc>
          <w:tcPr>
            <w:tcW w:w="3842" w:type="dxa"/>
            <w:gridSpan w:val="2"/>
            <w:vAlign w:val="center"/>
          </w:tcPr>
          <w:p>
            <w:pPr>
              <w:pStyle w:val="47"/>
              <w:spacing w:line="360" w:lineRule="auto"/>
              <w:jc w:val="center"/>
              <w:rPr>
                <w:rFonts w:ascii="宋体" w:hAnsi="宋体" w:cs="宋体"/>
                <w:b/>
                <w:color w:val="auto"/>
                <w:kern w:val="2"/>
                <w:sz w:val="21"/>
                <w:szCs w:val="21"/>
              </w:rPr>
            </w:pPr>
            <w:r>
              <w:rPr>
                <w:rFonts w:hint="eastAsia" w:ascii="宋体" w:hAnsi="宋体" w:cs="宋体"/>
                <w:b/>
                <w:color w:val="auto"/>
                <w:kern w:val="2"/>
                <w:sz w:val="21"/>
                <w:szCs w:val="21"/>
              </w:rPr>
              <w:t>交易对手信用水平</w:t>
            </w:r>
          </w:p>
        </w:tc>
      </w:tr>
      <w:tr>
        <w:tblPrEx>
          <w:tblBorders>
            <w:top w:val="single" w:color="000000" w:sz="6" w:space="0"/>
            <w:left w:val="single" w:color="000000" w:sz="6" w:space="0"/>
            <w:bottom w:val="single" w:color="auto" w:sz="4"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80" w:hRule="exact"/>
        </w:trPr>
        <w:tc>
          <w:tcPr>
            <w:tcW w:w="5380" w:type="dxa"/>
            <w:vMerge w:val="continue"/>
            <w:vAlign w:val="center"/>
          </w:tcPr>
          <w:p>
            <w:pPr>
              <w:pStyle w:val="48"/>
              <w:spacing w:line="360" w:lineRule="auto"/>
              <w:jc w:val="center"/>
              <w:rPr>
                <w:rFonts w:ascii="宋体" w:hAnsi="宋体" w:cs="宋体"/>
                <w:b/>
                <w:kern w:val="2"/>
                <w:sz w:val="21"/>
                <w:szCs w:val="21"/>
              </w:rPr>
            </w:pPr>
          </w:p>
        </w:tc>
        <w:tc>
          <w:tcPr>
            <w:tcW w:w="2020" w:type="dxa"/>
            <w:vAlign w:val="center"/>
          </w:tcPr>
          <w:p>
            <w:pPr>
              <w:pStyle w:val="47"/>
              <w:spacing w:line="360" w:lineRule="auto"/>
              <w:jc w:val="center"/>
              <w:rPr>
                <w:rFonts w:ascii="宋体" w:hAnsi="宋体" w:cs="宋体"/>
                <w:b/>
                <w:color w:val="auto"/>
                <w:kern w:val="2"/>
                <w:sz w:val="21"/>
                <w:szCs w:val="21"/>
              </w:rPr>
            </w:pPr>
            <w:r>
              <w:rPr>
                <w:rFonts w:hint="eastAsia" w:ascii="宋体" w:hAnsi="宋体" w:cs="宋体"/>
                <w:b/>
                <w:sz w:val="21"/>
                <w:szCs w:val="21"/>
              </w:rPr>
              <w:t>投资级别</w:t>
            </w:r>
          </w:p>
        </w:tc>
        <w:tc>
          <w:tcPr>
            <w:tcW w:w="1822" w:type="dxa"/>
            <w:vAlign w:val="center"/>
          </w:tcPr>
          <w:p>
            <w:pPr>
              <w:pStyle w:val="47"/>
              <w:spacing w:line="360" w:lineRule="auto"/>
              <w:jc w:val="center"/>
              <w:rPr>
                <w:rFonts w:ascii="宋体" w:hAnsi="宋体" w:cs="宋体"/>
                <w:b/>
                <w:color w:val="auto"/>
                <w:kern w:val="2"/>
                <w:sz w:val="21"/>
                <w:szCs w:val="21"/>
              </w:rPr>
            </w:pPr>
            <w:r>
              <w:rPr>
                <w:rFonts w:hint="eastAsia" w:ascii="宋体" w:hAnsi="宋体" w:cs="宋体"/>
                <w:b/>
                <w:sz w:val="21"/>
                <w:szCs w:val="21"/>
              </w:rPr>
              <w:t>高收益或未评级级别</w:t>
            </w:r>
          </w:p>
        </w:tc>
      </w:tr>
      <w:tr>
        <w:tblPrEx>
          <w:tblBorders>
            <w:top w:val="single" w:color="000000" w:sz="6" w:space="0"/>
            <w:left w:val="single" w:color="000000" w:sz="6" w:space="0"/>
            <w:bottom w:val="single" w:color="auto" w:sz="4"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3" w:hRule="atLeast"/>
        </w:trPr>
        <w:tc>
          <w:tcPr>
            <w:tcW w:w="5380" w:type="dxa"/>
            <w:vAlign w:val="center"/>
          </w:tcPr>
          <w:p>
            <w:pPr>
              <w:pStyle w:val="46"/>
              <w:jc w:val="both"/>
              <w:rPr>
                <w:rFonts w:ascii="宋体" w:hAnsi="宋体" w:cs="宋体"/>
                <w:bCs/>
                <w:kern w:val="2"/>
                <w:sz w:val="21"/>
                <w:szCs w:val="21"/>
                <w:lang w:eastAsia="zh-CN"/>
              </w:rPr>
            </w:pPr>
            <w:r>
              <w:rPr>
                <w:rFonts w:hint="eastAsia" w:ascii="宋体" w:hAnsi="宋体" w:cs="宋体"/>
                <w:bCs/>
                <w:kern w:val="2"/>
                <w:sz w:val="21"/>
                <w:szCs w:val="21"/>
                <w:lang w:eastAsia="zh-CN"/>
              </w:rPr>
              <w:t>政府主权, 包括中央银行、多边开发银行、我国的开发性金融机构和政策性银行</w:t>
            </w:r>
          </w:p>
        </w:tc>
        <w:tc>
          <w:tcPr>
            <w:tcW w:w="2020" w:type="dxa"/>
            <w:vAlign w:val="center"/>
          </w:tcPr>
          <w:p>
            <w:pPr>
              <w:pStyle w:val="47"/>
              <w:spacing w:line="360" w:lineRule="auto"/>
              <w:jc w:val="center"/>
              <w:rPr>
                <w:rFonts w:ascii="宋体" w:hAnsi="宋体" w:cs="宋体"/>
                <w:bCs/>
                <w:color w:val="auto"/>
                <w:kern w:val="2"/>
                <w:sz w:val="21"/>
                <w:szCs w:val="21"/>
              </w:rPr>
            </w:pPr>
            <w:r>
              <w:rPr>
                <w:rFonts w:hint="eastAsia" w:ascii="宋体" w:hAnsi="宋体" w:cs="宋体"/>
                <w:bCs/>
                <w:color w:val="auto"/>
                <w:kern w:val="2"/>
                <w:sz w:val="21"/>
                <w:szCs w:val="21"/>
              </w:rPr>
              <w:t>0.5%</w:t>
            </w:r>
          </w:p>
        </w:tc>
        <w:tc>
          <w:tcPr>
            <w:tcW w:w="1822" w:type="dxa"/>
            <w:vAlign w:val="center"/>
          </w:tcPr>
          <w:p>
            <w:pPr>
              <w:pStyle w:val="47"/>
              <w:spacing w:line="360" w:lineRule="auto"/>
              <w:jc w:val="center"/>
              <w:rPr>
                <w:rFonts w:ascii="宋体" w:hAnsi="宋体" w:cs="宋体"/>
                <w:bCs/>
                <w:color w:val="auto"/>
                <w:kern w:val="2"/>
                <w:sz w:val="21"/>
                <w:szCs w:val="21"/>
              </w:rPr>
            </w:pPr>
            <w:r>
              <w:rPr>
                <w:rFonts w:hint="eastAsia" w:ascii="宋体" w:hAnsi="宋体" w:cs="宋体"/>
                <w:bCs/>
                <w:color w:val="auto"/>
                <w:kern w:val="2"/>
                <w:sz w:val="21"/>
                <w:szCs w:val="21"/>
              </w:rPr>
              <w:t>2.0%</w:t>
            </w:r>
          </w:p>
        </w:tc>
      </w:tr>
      <w:tr>
        <w:tblPrEx>
          <w:tblBorders>
            <w:top w:val="single" w:color="000000" w:sz="6" w:space="0"/>
            <w:left w:val="single" w:color="000000" w:sz="6" w:space="0"/>
            <w:bottom w:val="single" w:color="auto" w:sz="4"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3" w:hRule="atLeast"/>
        </w:trPr>
        <w:tc>
          <w:tcPr>
            <w:tcW w:w="5380" w:type="dxa"/>
            <w:vAlign w:val="center"/>
          </w:tcPr>
          <w:p>
            <w:pPr>
              <w:pStyle w:val="47"/>
              <w:jc w:val="both"/>
              <w:rPr>
                <w:rFonts w:ascii="宋体" w:hAnsi="宋体" w:cs="宋体"/>
                <w:bCs/>
                <w:color w:val="auto"/>
                <w:kern w:val="2"/>
                <w:sz w:val="21"/>
                <w:szCs w:val="21"/>
              </w:rPr>
            </w:pPr>
            <w:r>
              <w:rPr>
                <w:rFonts w:hint="eastAsia" w:ascii="宋体" w:hAnsi="宋体" w:cs="宋体"/>
                <w:bCs/>
                <w:color w:val="auto"/>
                <w:kern w:val="2"/>
                <w:sz w:val="21"/>
                <w:szCs w:val="21"/>
              </w:rPr>
              <w:t>地方政府、公共部门实体、教育机构</w:t>
            </w:r>
          </w:p>
        </w:tc>
        <w:tc>
          <w:tcPr>
            <w:tcW w:w="2020" w:type="dxa"/>
            <w:vAlign w:val="center"/>
          </w:tcPr>
          <w:p>
            <w:pPr>
              <w:pStyle w:val="47"/>
              <w:spacing w:line="360" w:lineRule="auto"/>
              <w:jc w:val="center"/>
              <w:rPr>
                <w:rFonts w:ascii="宋体" w:hAnsi="宋体" w:cs="宋体"/>
                <w:bCs/>
                <w:color w:val="auto"/>
                <w:kern w:val="2"/>
                <w:sz w:val="21"/>
                <w:szCs w:val="21"/>
              </w:rPr>
            </w:pPr>
            <w:r>
              <w:rPr>
                <w:rFonts w:hint="eastAsia" w:ascii="宋体" w:hAnsi="宋体" w:cs="宋体"/>
                <w:bCs/>
                <w:color w:val="auto"/>
                <w:kern w:val="2"/>
                <w:sz w:val="21"/>
                <w:szCs w:val="21"/>
              </w:rPr>
              <w:t>1.0%</w:t>
            </w:r>
          </w:p>
        </w:tc>
        <w:tc>
          <w:tcPr>
            <w:tcW w:w="1822" w:type="dxa"/>
            <w:vAlign w:val="center"/>
          </w:tcPr>
          <w:p>
            <w:pPr>
              <w:pStyle w:val="47"/>
              <w:spacing w:line="360" w:lineRule="auto"/>
              <w:jc w:val="center"/>
              <w:rPr>
                <w:rFonts w:ascii="宋体" w:hAnsi="宋体" w:cs="宋体"/>
                <w:bCs/>
                <w:color w:val="auto"/>
                <w:kern w:val="2"/>
                <w:sz w:val="21"/>
                <w:szCs w:val="21"/>
              </w:rPr>
            </w:pPr>
            <w:r>
              <w:rPr>
                <w:rFonts w:hint="eastAsia" w:ascii="宋体" w:hAnsi="宋体" w:cs="宋体"/>
                <w:bCs/>
                <w:color w:val="auto"/>
                <w:kern w:val="2"/>
                <w:sz w:val="21"/>
                <w:szCs w:val="21"/>
              </w:rPr>
              <w:t>4.0%</w:t>
            </w:r>
          </w:p>
        </w:tc>
      </w:tr>
      <w:tr>
        <w:tblPrEx>
          <w:tblBorders>
            <w:top w:val="single" w:color="000000" w:sz="6" w:space="0"/>
            <w:left w:val="single" w:color="000000" w:sz="6" w:space="0"/>
            <w:bottom w:val="single" w:color="auto" w:sz="4"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3" w:hRule="atLeast"/>
        </w:trPr>
        <w:tc>
          <w:tcPr>
            <w:tcW w:w="5380" w:type="dxa"/>
            <w:vAlign w:val="center"/>
          </w:tcPr>
          <w:p>
            <w:pPr>
              <w:pStyle w:val="47"/>
              <w:jc w:val="both"/>
              <w:rPr>
                <w:rFonts w:ascii="宋体" w:hAnsi="宋体" w:cs="宋体"/>
                <w:bCs/>
                <w:color w:val="auto"/>
                <w:kern w:val="2"/>
                <w:sz w:val="21"/>
                <w:szCs w:val="21"/>
              </w:rPr>
            </w:pPr>
            <w:r>
              <w:rPr>
                <w:rFonts w:hint="eastAsia" w:ascii="宋体" w:hAnsi="宋体" w:cs="宋体"/>
                <w:bCs/>
                <w:color w:val="auto"/>
                <w:kern w:val="2"/>
                <w:sz w:val="21"/>
                <w:szCs w:val="21"/>
              </w:rPr>
              <w:t>金融机构</w:t>
            </w:r>
          </w:p>
        </w:tc>
        <w:tc>
          <w:tcPr>
            <w:tcW w:w="2020" w:type="dxa"/>
            <w:vAlign w:val="center"/>
          </w:tcPr>
          <w:p>
            <w:pPr>
              <w:pStyle w:val="47"/>
              <w:spacing w:line="360" w:lineRule="auto"/>
              <w:jc w:val="center"/>
              <w:rPr>
                <w:rFonts w:ascii="宋体" w:hAnsi="宋体" w:cs="宋体"/>
                <w:bCs/>
                <w:color w:val="auto"/>
                <w:kern w:val="2"/>
                <w:sz w:val="21"/>
                <w:szCs w:val="21"/>
              </w:rPr>
            </w:pPr>
            <w:r>
              <w:rPr>
                <w:rFonts w:hint="eastAsia" w:ascii="宋体" w:hAnsi="宋体" w:cs="宋体"/>
                <w:bCs/>
                <w:color w:val="auto"/>
                <w:kern w:val="2"/>
                <w:sz w:val="21"/>
                <w:szCs w:val="21"/>
              </w:rPr>
              <w:t>5.0%</w:t>
            </w:r>
          </w:p>
        </w:tc>
        <w:tc>
          <w:tcPr>
            <w:tcW w:w="1822" w:type="dxa"/>
            <w:vAlign w:val="center"/>
          </w:tcPr>
          <w:p>
            <w:pPr>
              <w:pStyle w:val="47"/>
              <w:spacing w:line="360" w:lineRule="auto"/>
              <w:jc w:val="center"/>
              <w:rPr>
                <w:rFonts w:ascii="宋体" w:hAnsi="宋体" w:cs="宋体"/>
                <w:bCs/>
                <w:color w:val="auto"/>
                <w:kern w:val="2"/>
                <w:sz w:val="21"/>
                <w:szCs w:val="21"/>
              </w:rPr>
            </w:pPr>
            <w:r>
              <w:rPr>
                <w:rFonts w:hint="eastAsia" w:ascii="宋体" w:hAnsi="宋体" w:cs="宋体"/>
                <w:bCs/>
                <w:color w:val="auto"/>
                <w:kern w:val="2"/>
                <w:sz w:val="21"/>
                <w:szCs w:val="21"/>
              </w:rPr>
              <w:t>12.0%</w:t>
            </w:r>
          </w:p>
        </w:tc>
      </w:tr>
      <w:tr>
        <w:tblPrEx>
          <w:tblBorders>
            <w:top w:val="single" w:color="000000" w:sz="6" w:space="0"/>
            <w:left w:val="single" w:color="000000" w:sz="6" w:space="0"/>
            <w:bottom w:val="single" w:color="auto" w:sz="4"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3" w:hRule="atLeast"/>
        </w:trPr>
        <w:tc>
          <w:tcPr>
            <w:tcW w:w="5380" w:type="dxa"/>
            <w:vAlign w:val="center"/>
          </w:tcPr>
          <w:p>
            <w:pPr>
              <w:pStyle w:val="47"/>
              <w:jc w:val="both"/>
              <w:rPr>
                <w:rFonts w:ascii="宋体" w:hAnsi="宋体" w:cs="宋体"/>
                <w:bCs/>
                <w:color w:val="auto"/>
                <w:kern w:val="2"/>
                <w:sz w:val="21"/>
                <w:szCs w:val="21"/>
              </w:rPr>
            </w:pPr>
            <w:r>
              <w:rPr>
                <w:rFonts w:hint="eastAsia" w:ascii="宋体" w:hAnsi="宋体" w:cs="宋体"/>
                <w:bCs/>
                <w:color w:val="auto"/>
                <w:kern w:val="2"/>
                <w:sz w:val="21"/>
                <w:szCs w:val="21"/>
              </w:rPr>
              <w:t>基础资源、能源、工业、农业、制造业、矿产和开采领域</w:t>
            </w:r>
          </w:p>
        </w:tc>
        <w:tc>
          <w:tcPr>
            <w:tcW w:w="2020" w:type="dxa"/>
            <w:vAlign w:val="center"/>
          </w:tcPr>
          <w:p>
            <w:pPr>
              <w:pStyle w:val="47"/>
              <w:spacing w:line="360" w:lineRule="auto"/>
              <w:jc w:val="center"/>
              <w:rPr>
                <w:rFonts w:ascii="宋体" w:hAnsi="宋体" w:cs="宋体"/>
                <w:bCs/>
                <w:color w:val="auto"/>
                <w:kern w:val="2"/>
                <w:sz w:val="21"/>
                <w:szCs w:val="21"/>
              </w:rPr>
            </w:pPr>
            <w:r>
              <w:rPr>
                <w:rFonts w:hint="eastAsia" w:ascii="宋体" w:hAnsi="宋体" w:cs="宋体"/>
                <w:bCs/>
                <w:color w:val="auto"/>
                <w:kern w:val="2"/>
                <w:sz w:val="21"/>
                <w:szCs w:val="21"/>
              </w:rPr>
              <w:t>3.0%</w:t>
            </w:r>
          </w:p>
        </w:tc>
        <w:tc>
          <w:tcPr>
            <w:tcW w:w="1822" w:type="dxa"/>
            <w:vAlign w:val="center"/>
          </w:tcPr>
          <w:p>
            <w:pPr>
              <w:pStyle w:val="47"/>
              <w:spacing w:line="360" w:lineRule="auto"/>
              <w:jc w:val="center"/>
              <w:rPr>
                <w:rFonts w:ascii="宋体" w:hAnsi="宋体" w:cs="宋体"/>
                <w:bCs/>
                <w:color w:val="auto"/>
                <w:kern w:val="2"/>
                <w:sz w:val="21"/>
                <w:szCs w:val="21"/>
              </w:rPr>
            </w:pPr>
            <w:r>
              <w:rPr>
                <w:rFonts w:hint="eastAsia" w:ascii="宋体" w:hAnsi="宋体" w:cs="宋体"/>
                <w:bCs/>
                <w:color w:val="auto"/>
                <w:kern w:val="2"/>
                <w:sz w:val="21"/>
                <w:szCs w:val="21"/>
              </w:rPr>
              <w:t>7.0%</w:t>
            </w:r>
          </w:p>
        </w:tc>
      </w:tr>
      <w:tr>
        <w:tblPrEx>
          <w:tblBorders>
            <w:top w:val="single" w:color="000000" w:sz="6" w:space="0"/>
            <w:left w:val="single" w:color="000000" w:sz="6" w:space="0"/>
            <w:bottom w:val="single" w:color="auto" w:sz="4"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3" w:hRule="atLeast"/>
        </w:trPr>
        <w:tc>
          <w:tcPr>
            <w:tcW w:w="5380" w:type="dxa"/>
            <w:vAlign w:val="center"/>
          </w:tcPr>
          <w:p>
            <w:pPr>
              <w:pStyle w:val="47"/>
              <w:jc w:val="both"/>
              <w:rPr>
                <w:rFonts w:ascii="宋体" w:hAnsi="宋体" w:cs="宋体"/>
                <w:bCs/>
                <w:color w:val="auto"/>
                <w:kern w:val="2"/>
                <w:sz w:val="21"/>
                <w:szCs w:val="21"/>
              </w:rPr>
            </w:pPr>
            <w:r>
              <w:rPr>
                <w:rFonts w:hint="eastAsia" w:ascii="宋体" w:hAnsi="宋体" w:cs="宋体"/>
                <w:bCs/>
                <w:color w:val="auto"/>
                <w:kern w:val="2"/>
                <w:sz w:val="21"/>
                <w:szCs w:val="21"/>
              </w:rPr>
              <w:t>消费品和服务, 交通运输和仓储, 公共管理及其支持性服务</w:t>
            </w:r>
          </w:p>
        </w:tc>
        <w:tc>
          <w:tcPr>
            <w:tcW w:w="2020" w:type="dxa"/>
            <w:vAlign w:val="center"/>
          </w:tcPr>
          <w:p>
            <w:pPr>
              <w:pStyle w:val="47"/>
              <w:spacing w:line="360" w:lineRule="auto"/>
              <w:jc w:val="center"/>
              <w:rPr>
                <w:rFonts w:ascii="宋体" w:hAnsi="宋体" w:cs="宋体"/>
                <w:bCs/>
                <w:color w:val="auto"/>
                <w:kern w:val="2"/>
                <w:sz w:val="21"/>
                <w:szCs w:val="21"/>
              </w:rPr>
            </w:pPr>
            <w:r>
              <w:rPr>
                <w:rFonts w:hint="eastAsia" w:ascii="宋体" w:hAnsi="宋体" w:cs="宋体"/>
                <w:bCs/>
                <w:color w:val="auto"/>
                <w:kern w:val="2"/>
                <w:sz w:val="21"/>
                <w:szCs w:val="21"/>
              </w:rPr>
              <w:t>3.0%</w:t>
            </w:r>
          </w:p>
        </w:tc>
        <w:tc>
          <w:tcPr>
            <w:tcW w:w="1822" w:type="dxa"/>
            <w:vAlign w:val="center"/>
          </w:tcPr>
          <w:p>
            <w:pPr>
              <w:pStyle w:val="47"/>
              <w:spacing w:line="360" w:lineRule="auto"/>
              <w:jc w:val="center"/>
              <w:rPr>
                <w:rFonts w:ascii="宋体" w:hAnsi="宋体" w:cs="宋体"/>
                <w:bCs/>
                <w:color w:val="auto"/>
                <w:kern w:val="2"/>
                <w:sz w:val="21"/>
                <w:szCs w:val="21"/>
              </w:rPr>
            </w:pPr>
            <w:r>
              <w:rPr>
                <w:rFonts w:hint="eastAsia" w:ascii="宋体" w:hAnsi="宋体" w:cs="宋体"/>
                <w:bCs/>
                <w:color w:val="auto"/>
                <w:kern w:val="2"/>
                <w:sz w:val="21"/>
                <w:szCs w:val="21"/>
              </w:rPr>
              <w:t>8.5%</w:t>
            </w:r>
          </w:p>
        </w:tc>
      </w:tr>
      <w:tr>
        <w:tblPrEx>
          <w:tblBorders>
            <w:top w:val="single" w:color="000000" w:sz="6" w:space="0"/>
            <w:left w:val="single" w:color="000000" w:sz="6" w:space="0"/>
            <w:bottom w:val="single" w:color="auto" w:sz="4"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3" w:hRule="atLeast"/>
        </w:trPr>
        <w:tc>
          <w:tcPr>
            <w:tcW w:w="5380" w:type="dxa"/>
            <w:vAlign w:val="center"/>
          </w:tcPr>
          <w:p>
            <w:pPr>
              <w:pStyle w:val="47"/>
              <w:jc w:val="both"/>
              <w:rPr>
                <w:rFonts w:ascii="宋体" w:hAnsi="宋体" w:cs="宋体"/>
                <w:bCs/>
                <w:color w:val="auto"/>
                <w:kern w:val="2"/>
                <w:sz w:val="21"/>
                <w:szCs w:val="21"/>
              </w:rPr>
            </w:pPr>
            <w:r>
              <w:rPr>
                <w:rFonts w:hint="eastAsia" w:ascii="宋体" w:hAnsi="宋体" w:cs="宋体"/>
                <w:bCs/>
                <w:color w:val="auto"/>
                <w:kern w:val="2"/>
                <w:sz w:val="21"/>
                <w:szCs w:val="21"/>
              </w:rPr>
              <w:t>信息科技, 通信行业</w:t>
            </w:r>
          </w:p>
        </w:tc>
        <w:tc>
          <w:tcPr>
            <w:tcW w:w="2020" w:type="dxa"/>
            <w:vAlign w:val="center"/>
          </w:tcPr>
          <w:p>
            <w:pPr>
              <w:pStyle w:val="47"/>
              <w:spacing w:line="360" w:lineRule="auto"/>
              <w:jc w:val="center"/>
              <w:rPr>
                <w:rFonts w:ascii="宋体" w:hAnsi="宋体" w:cs="宋体"/>
                <w:bCs/>
                <w:color w:val="auto"/>
                <w:kern w:val="2"/>
                <w:sz w:val="21"/>
                <w:szCs w:val="21"/>
              </w:rPr>
            </w:pPr>
            <w:r>
              <w:rPr>
                <w:rFonts w:hint="eastAsia" w:ascii="宋体" w:hAnsi="宋体" w:cs="宋体"/>
                <w:bCs/>
                <w:color w:val="auto"/>
                <w:kern w:val="2"/>
                <w:sz w:val="21"/>
                <w:szCs w:val="21"/>
              </w:rPr>
              <w:t>2.0%</w:t>
            </w:r>
          </w:p>
        </w:tc>
        <w:tc>
          <w:tcPr>
            <w:tcW w:w="1822" w:type="dxa"/>
            <w:vAlign w:val="center"/>
          </w:tcPr>
          <w:p>
            <w:pPr>
              <w:pStyle w:val="47"/>
              <w:spacing w:line="360" w:lineRule="auto"/>
              <w:jc w:val="center"/>
              <w:rPr>
                <w:rFonts w:ascii="宋体" w:hAnsi="宋体" w:cs="宋体"/>
                <w:bCs/>
                <w:color w:val="auto"/>
                <w:kern w:val="2"/>
                <w:sz w:val="21"/>
                <w:szCs w:val="21"/>
              </w:rPr>
            </w:pPr>
            <w:r>
              <w:rPr>
                <w:rFonts w:hint="eastAsia" w:ascii="宋体" w:hAnsi="宋体" w:cs="宋体"/>
                <w:bCs/>
                <w:color w:val="auto"/>
                <w:kern w:val="2"/>
                <w:sz w:val="21"/>
                <w:szCs w:val="21"/>
              </w:rPr>
              <w:t>5.5%</w:t>
            </w:r>
          </w:p>
        </w:tc>
      </w:tr>
      <w:tr>
        <w:tblPrEx>
          <w:tblBorders>
            <w:top w:val="single" w:color="000000" w:sz="6" w:space="0"/>
            <w:left w:val="single" w:color="000000" w:sz="6" w:space="0"/>
            <w:bottom w:val="single" w:color="auto" w:sz="4"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3" w:hRule="atLeast"/>
        </w:trPr>
        <w:tc>
          <w:tcPr>
            <w:tcW w:w="5380" w:type="dxa"/>
            <w:vAlign w:val="center"/>
          </w:tcPr>
          <w:p>
            <w:pPr>
              <w:pStyle w:val="47"/>
              <w:jc w:val="both"/>
              <w:rPr>
                <w:rFonts w:ascii="宋体" w:hAnsi="宋体" w:cs="宋体"/>
                <w:bCs/>
                <w:color w:val="auto"/>
                <w:kern w:val="2"/>
                <w:sz w:val="21"/>
                <w:szCs w:val="21"/>
              </w:rPr>
            </w:pPr>
            <w:r>
              <w:rPr>
                <w:rFonts w:hint="eastAsia" w:ascii="宋体" w:hAnsi="宋体" w:cs="宋体"/>
                <w:bCs/>
                <w:color w:val="auto"/>
                <w:kern w:val="2"/>
                <w:sz w:val="21"/>
                <w:szCs w:val="21"/>
              </w:rPr>
              <w:t>健康医疗, 公共服务, 专业技术领域</w:t>
            </w:r>
          </w:p>
        </w:tc>
        <w:tc>
          <w:tcPr>
            <w:tcW w:w="2020" w:type="dxa"/>
            <w:vAlign w:val="center"/>
          </w:tcPr>
          <w:p>
            <w:pPr>
              <w:pStyle w:val="47"/>
              <w:spacing w:line="360" w:lineRule="auto"/>
              <w:jc w:val="center"/>
              <w:rPr>
                <w:rFonts w:ascii="宋体" w:hAnsi="宋体" w:cs="宋体"/>
                <w:bCs/>
                <w:color w:val="auto"/>
                <w:kern w:val="2"/>
                <w:sz w:val="21"/>
                <w:szCs w:val="21"/>
              </w:rPr>
            </w:pPr>
            <w:r>
              <w:rPr>
                <w:rFonts w:hint="eastAsia" w:ascii="宋体" w:hAnsi="宋体" w:cs="宋体"/>
                <w:bCs/>
                <w:color w:val="auto"/>
                <w:kern w:val="2"/>
                <w:sz w:val="21"/>
                <w:szCs w:val="21"/>
              </w:rPr>
              <w:t>1.5%</w:t>
            </w:r>
          </w:p>
        </w:tc>
        <w:tc>
          <w:tcPr>
            <w:tcW w:w="1822" w:type="dxa"/>
            <w:vAlign w:val="center"/>
          </w:tcPr>
          <w:p>
            <w:pPr>
              <w:pStyle w:val="47"/>
              <w:spacing w:line="360" w:lineRule="auto"/>
              <w:jc w:val="center"/>
              <w:rPr>
                <w:rFonts w:ascii="宋体" w:hAnsi="宋体" w:cs="宋体"/>
                <w:bCs/>
                <w:color w:val="auto"/>
                <w:kern w:val="2"/>
                <w:sz w:val="21"/>
                <w:szCs w:val="21"/>
              </w:rPr>
            </w:pPr>
            <w:r>
              <w:rPr>
                <w:rFonts w:hint="eastAsia" w:ascii="宋体" w:hAnsi="宋体" w:cs="宋体"/>
                <w:bCs/>
                <w:color w:val="auto"/>
                <w:kern w:val="2"/>
                <w:sz w:val="21"/>
                <w:szCs w:val="21"/>
              </w:rPr>
              <w:t>5.0%</w:t>
            </w:r>
          </w:p>
        </w:tc>
      </w:tr>
      <w:tr>
        <w:tblPrEx>
          <w:tblBorders>
            <w:top w:val="single" w:color="000000" w:sz="6" w:space="0"/>
            <w:left w:val="single" w:color="000000" w:sz="6" w:space="0"/>
            <w:bottom w:val="single" w:color="auto" w:sz="4"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3" w:hRule="atLeast"/>
        </w:trPr>
        <w:tc>
          <w:tcPr>
            <w:tcW w:w="5380" w:type="dxa"/>
            <w:vAlign w:val="center"/>
          </w:tcPr>
          <w:p>
            <w:pPr>
              <w:pStyle w:val="47"/>
              <w:jc w:val="both"/>
              <w:rPr>
                <w:rFonts w:ascii="宋体" w:hAnsi="宋体" w:cs="宋体"/>
                <w:bCs/>
                <w:color w:val="auto"/>
                <w:kern w:val="2"/>
                <w:sz w:val="21"/>
                <w:szCs w:val="21"/>
              </w:rPr>
            </w:pPr>
            <w:r>
              <w:rPr>
                <w:rFonts w:hint="eastAsia" w:ascii="宋体" w:hAnsi="宋体" w:cs="宋体"/>
                <w:bCs/>
                <w:color w:val="auto"/>
                <w:kern w:val="2"/>
                <w:sz w:val="21"/>
                <w:szCs w:val="21"/>
              </w:rPr>
              <w:t>其他</w:t>
            </w:r>
          </w:p>
        </w:tc>
        <w:tc>
          <w:tcPr>
            <w:tcW w:w="2020" w:type="dxa"/>
            <w:vAlign w:val="center"/>
          </w:tcPr>
          <w:p>
            <w:pPr>
              <w:pStyle w:val="47"/>
              <w:spacing w:line="360" w:lineRule="auto"/>
              <w:jc w:val="center"/>
              <w:rPr>
                <w:rFonts w:ascii="宋体" w:hAnsi="宋体" w:cs="宋体"/>
                <w:bCs/>
                <w:color w:val="auto"/>
                <w:kern w:val="2"/>
                <w:sz w:val="21"/>
                <w:szCs w:val="21"/>
              </w:rPr>
            </w:pPr>
            <w:r>
              <w:rPr>
                <w:rFonts w:hint="eastAsia" w:ascii="宋体" w:hAnsi="宋体" w:cs="宋体"/>
                <w:bCs/>
                <w:color w:val="auto"/>
                <w:kern w:val="2"/>
                <w:sz w:val="21"/>
                <w:szCs w:val="21"/>
              </w:rPr>
              <w:t>5.0%</w:t>
            </w:r>
          </w:p>
        </w:tc>
        <w:tc>
          <w:tcPr>
            <w:tcW w:w="1822" w:type="dxa"/>
            <w:vAlign w:val="center"/>
          </w:tcPr>
          <w:p>
            <w:pPr>
              <w:pStyle w:val="47"/>
              <w:spacing w:line="360" w:lineRule="auto"/>
              <w:jc w:val="center"/>
              <w:rPr>
                <w:rFonts w:ascii="宋体" w:hAnsi="宋体" w:cs="宋体"/>
                <w:bCs/>
                <w:color w:val="auto"/>
                <w:kern w:val="2"/>
                <w:sz w:val="21"/>
                <w:szCs w:val="21"/>
              </w:rPr>
            </w:pPr>
            <w:r>
              <w:rPr>
                <w:rFonts w:hint="eastAsia" w:ascii="宋体" w:hAnsi="宋体" w:cs="宋体"/>
                <w:bCs/>
                <w:color w:val="auto"/>
                <w:kern w:val="2"/>
                <w:sz w:val="21"/>
                <w:szCs w:val="21"/>
              </w:rPr>
              <w:t>12.0%</w:t>
            </w:r>
          </w:p>
        </w:tc>
      </w:tr>
    </w:tbl>
    <w:p>
      <w:pPr>
        <w:widowControl/>
        <w:spacing w:line="440" w:lineRule="exact"/>
        <w:ind w:firstLine="420" w:firstLineChars="200"/>
        <w:outlineLvl w:val="0"/>
        <w:rPr>
          <w:rFonts w:ascii="宋体" w:hAnsi="宋体" w:cs="宋体"/>
          <w:szCs w:val="21"/>
        </w:rPr>
      </w:pPr>
      <w:r>
        <w:rPr>
          <w:rFonts w:hint="eastAsia" w:ascii="宋体" w:hAnsi="宋体" w:cs="宋体"/>
          <w:szCs w:val="21"/>
        </w:rPr>
        <w:t>对于经国家金融监督管理总局或其派出机构验收通过实施信用风险内部评级法的银行，若无法取得交易对手的合格外部评级，可将内部评级映射到外部评级。</w:t>
      </w:r>
      <w:r>
        <w:rPr>
          <w:rFonts w:hint="eastAsia" w:ascii="宋体" w:hAnsi="宋体"/>
          <w:color w:val="0D0D0D" w:themeColor="text1" w:themeTint="F2"/>
          <w:szCs w:val="21"/>
          <w14:textFill>
            <w14:solidFill>
              <w14:schemeClr w14:val="tx1">
                <w14:lumMod w14:val="95000"/>
                <w14:lumOff w14:val="5000"/>
              </w14:schemeClr>
            </w14:solidFill>
          </w14:textFill>
        </w:rPr>
        <w:t>填报机构应制定清晰的评级映射规则，至少每年检验一次映射规则的合理性，并留档备查。</w:t>
      </w:r>
    </w:p>
    <w:p>
      <w:pPr>
        <w:spacing w:line="440" w:lineRule="exact"/>
        <w:ind w:firstLine="420" w:firstLineChars="200"/>
        <w:rPr>
          <w:rFonts w:ascii="宋体" w:hAnsi="宋体" w:cs="宋体"/>
          <w:szCs w:val="21"/>
        </w:rPr>
      </w:pPr>
      <w:r>
        <w:rPr>
          <w:rFonts w:hint="eastAsia" w:ascii="宋体" w:hAnsi="宋体" w:cs="宋体"/>
          <w:szCs w:val="21"/>
        </w:rPr>
        <w:t>单个保证金协议下多个净额结算组合情形的</w:t>
      </w:r>
      <w:r>
        <w:rPr>
          <w:rFonts w:hint="eastAsia" w:ascii="宋体" w:hAnsi="宋体" w:cs="宋体"/>
          <w:position w:val="-12"/>
          <w:szCs w:val="21"/>
        </w:rPr>
        <w:object>
          <v:shape id="_x0000_i1036" o:spt="75" type="#_x0000_t75" style="height:16.2pt;width:34.8pt;" o:ole="t" filled="f" o:preferrelative="t" stroked="f" coordsize="21600,21600">
            <v:path/>
            <v:fill on="f" focussize="0,0"/>
            <v:stroke on="f" joinstyle="miter"/>
            <v:imagedata r:id="rId7" o:title=""/>
            <o:lock v:ext="edit" aspectratio="t"/>
            <w10:wrap type="none"/>
            <w10:anchorlock/>
          </v:shape>
          <o:OLEObject Type="Embed" ProgID="Equation.DSMT4" ShapeID="_x0000_i1036" DrawAspect="Content" ObjectID="_1468075736" r:id="rId29">
            <o:LockedField>false</o:LockedField>
          </o:OLEObject>
        </w:object>
      </w:r>
      <w:r>
        <w:rPr>
          <w:rFonts w:hint="eastAsia" w:ascii="宋体" w:hAnsi="宋体" w:cs="宋体"/>
          <w:szCs w:val="21"/>
        </w:rPr>
        <w:t>的计算规则：当单个保证金协议下有多个净额结算组合时，仅得到保证金协议的</w:t>
      </w:r>
      <w:r>
        <w:rPr>
          <w:rFonts w:ascii="宋体" w:hAnsi="宋体" w:cs="宋体"/>
          <w:szCs w:val="21"/>
        </w:rPr>
        <w:t>EAD</w:t>
      </w:r>
      <w:r>
        <w:rPr>
          <w:rFonts w:hint="eastAsia" w:ascii="宋体" w:hAnsi="宋体" w:cs="宋体"/>
          <w:szCs w:val="21"/>
        </w:rPr>
        <w:t>总数，并未再分配至每个净额结算交易对手</w:t>
      </w:r>
      <m:oMath>
        <m:r>
          <m:rPr/>
          <w:rPr>
            <w:rFonts w:ascii="Cambria Math"/>
          </w:rPr>
          <m:t>EA</m:t>
        </m:r>
        <m:sSub>
          <m:sSubPr>
            <m:ctrlPr>
              <w:rPr>
                <w:rFonts w:ascii="Cambria Math" w:hAnsi="Cambria Math"/>
                <w:i/>
              </w:rPr>
            </m:ctrlPr>
          </m:sSubPr>
          <m:e>
            <m:r>
              <m:rPr/>
              <w:rPr>
                <w:rFonts w:ascii="Cambria Math"/>
              </w:rPr>
              <m:t>D</m:t>
            </m:r>
            <m:ctrlPr>
              <w:rPr>
                <w:rFonts w:ascii="Cambria Math" w:hAnsi="Cambria Math"/>
                <w:i/>
              </w:rPr>
            </m:ctrlPr>
          </m:e>
          <m:sub>
            <m:r>
              <m:rPr/>
              <w:rPr>
                <w:rFonts w:ascii="Cambria Math"/>
              </w:rPr>
              <m:t>NS</m:t>
            </m:r>
            <m:ctrlPr>
              <w:rPr>
                <w:rFonts w:ascii="Cambria Math" w:hAnsi="Cambria Math"/>
                <w:i/>
              </w:rPr>
            </m:ctrlPr>
          </m:sub>
        </m:sSub>
      </m:oMath>
      <w:r>
        <w:rPr>
          <w:rFonts w:hint="eastAsia" w:ascii="宋体" w:hAnsi="宋体" w:cs="宋体"/>
          <w:szCs w:val="21"/>
        </w:rPr>
        <w:t>。此种情形下，</w:t>
      </w:r>
      <w:r>
        <w:rPr>
          <w:rFonts w:hint="eastAsia" w:ascii="宋体" w:hAnsi="宋体" w:cs="宋体"/>
          <w:position w:val="-12"/>
          <w:szCs w:val="21"/>
        </w:rPr>
        <w:object>
          <v:shape id="_x0000_i1037" o:spt="75" type="#_x0000_t75" style="height:19.2pt;width:40.8pt;" o:ole="t" filled="f" o:preferrelative="t" stroked="f" coordsize="21600,21600">
            <v:path/>
            <v:fill on="f" focussize="0,0"/>
            <v:stroke on="f" joinstyle="miter"/>
            <v:imagedata r:id="rId7" o:title=""/>
            <o:lock v:ext="edit" aspectratio="t"/>
            <w10:wrap type="none"/>
            <w10:anchorlock/>
          </v:shape>
          <o:OLEObject Type="Embed" ProgID="Equation.DSMT4" ShapeID="_x0000_i1037" DrawAspect="Content" ObjectID="_1468075737" r:id="rId30">
            <o:LockedField>false</o:LockedField>
          </o:OLEObject>
        </w:object>
      </w:r>
      <w:r>
        <w:rPr>
          <w:rFonts w:hint="eastAsia" w:ascii="宋体" w:hAnsi="宋体" w:cs="宋体"/>
          <w:szCs w:val="21"/>
        </w:rPr>
        <w:t>计算规则为：</w:t>
      </w:r>
    </w:p>
    <w:p>
      <w:pPr>
        <w:spacing w:line="440" w:lineRule="exact"/>
        <w:ind w:firstLine="420" w:firstLineChars="200"/>
        <w:rPr>
          <w:rFonts w:ascii="宋体" w:hAnsi="宋体" w:cs="宋体"/>
          <w:szCs w:val="21"/>
        </w:rPr>
      </w:pPr>
      <w:r>
        <w:drawing>
          <wp:anchor distT="0" distB="0" distL="114300" distR="114300" simplePos="0" relativeHeight="251661312" behindDoc="0" locked="0" layoutInCell="1" allowOverlap="1">
            <wp:simplePos x="0" y="0"/>
            <wp:positionH relativeFrom="column">
              <wp:posOffset>819150</wp:posOffset>
            </wp:positionH>
            <wp:positionV relativeFrom="paragraph">
              <wp:posOffset>80645</wp:posOffset>
            </wp:positionV>
            <wp:extent cx="3463290" cy="372745"/>
            <wp:effectExtent l="0" t="0" r="3810" b="8255"/>
            <wp:wrapTopAndBottom/>
            <wp:docPr id="4"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9"/>
                    <pic:cNvPicPr>
                      <a:picLocks noChangeAspect="1"/>
                    </pic:cNvPicPr>
                  </pic:nvPicPr>
                  <pic:blipFill>
                    <a:blip r:embed="rId31"/>
                    <a:stretch>
                      <a:fillRect/>
                    </a:stretch>
                  </pic:blipFill>
                  <pic:spPr>
                    <a:xfrm>
                      <a:off x="0" y="0"/>
                      <a:ext cx="3463290" cy="372745"/>
                    </a:xfrm>
                    <a:prstGeom prst="rect">
                      <a:avLst/>
                    </a:prstGeom>
                    <a:noFill/>
                    <a:ln>
                      <a:noFill/>
                    </a:ln>
                  </pic:spPr>
                </pic:pic>
              </a:graphicData>
            </a:graphic>
          </wp:anchor>
        </w:drawing>
      </w:r>
      <w:r>
        <w:rPr>
          <w:rFonts w:hint="eastAsia" w:ascii="宋体" w:hAnsi="宋体" w:cs="宋体"/>
          <w:position w:val="-14"/>
          <w:szCs w:val="21"/>
        </w:rPr>
        <w:object>
          <v:shape id="_x0000_i1038" o:spt="75" type="#_x0000_t75" style="height:16.2pt;width:26.4pt;" o:ole="t" filled="f" o:preferrelative="t" stroked="f" coordsize="21600,21600">
            <v:path/>
            <v:fill on="f" focussize="0,0"/>
            <v:stroke on="f" joinstyle="miter"/>
            <v:imagedata r:id="rId33" o:title=""/>
            <o:lock v:ext="edit" aspectratio="t"/>
            <w10:wrap type="none"/>
            <w10:anchorlock/>
          </v:shape>
          <o:OLEObject Type="Embed" ProgID="Equation.DSMT4" ShapeID="_x0000_i1038" DrawAspect="Content" ObjectID="_1468075738" r:id="rId32">
            <o:LockedField>false</o:LockedField>
          </o:OLEObject>
        </w:object>
      </w:r>
      <w:r>
        <w:rPr>
          <w:rFonts w:hint="eastAsia" w:ascii="宋体" w:hAnsi="宋体" w:cs="宋体"/>
          <w:szCs w:val="21"/>
        </w:rPr>
        <w:t>是保证金协议M</w:t>
      </w:r>
      <w:r>
        <w:rPr>
          <w:rFonts w:ascii="宋体" w:hAnsi="宋体" w:cs="宋体"/>
          <w:szCs w:val="21"/>
        </w:rPr>
        <w:t>A</w:t>
      </w:r>
      <w:r>
        <w:rPr>
          <w:rFonts w:hint="eastAsia" w:ascii="宋体" w:hAnsi="宋体" w:cs="宋体"/>
          <w:szCs w:val="21"/>
        </w:rPr>
        <w:t>的有效期限，详见</w:t>
      </w:r>
      <w:r>
        <w:rPr>
          <w:rFonts w:hint="eastAsia"/>
          <w:bCs/>
          <w:szCs w:val="21"/>
        </w:rPr>
        <w:t>《办法》</w:t>
      </w:r>
      <w:r>
        <w:rPr>
          <w:rFonts w:hint="eastAsia" w:ascii="宋体" w:hAnsi="宋体" w:cs="宋体"/>
          <w:szCs w:val="21"/>
        </w:rPr>
        <w:t>附件5第六部分（六），且</w:t>
      </w:r>
      <w:r>
        <w:rPr>
          <w:rFonts w:hint="eastAsia" w:ascii="宋体" w:hAnsi="宋体" w:cs="宋体"/>
          <w:position w:val="-14"/>
          <w:szCs w:val="21"/>
        </w:rPr>
        <w:object>
          <v:shape id="_x0000_i1039" o:spt="75" type="#_x0000_t75" style="height:16.2pt;width:26.4pt;" o:ole="t" filled="f" o:preferrelative="t" stroked="f" coordsize="21600,21600">
            <v:path/>
            <v:fill on="f" focussize="0,0"/>
            <v:stroke on="f" joinstyle="miter"/>
            <v:imagedata r:id="rId35" o:title=""/>
            <o:lock v:ext="edit" aspectratio="t"/>
            <w10:wrap type="none"/>
            <w10:anchorlock/>
          </v:shape>
          <o:OLEObject Type="Embed" ProgID="Equation.DSMT4" ShapeID="_x0000_i1039" DrawAspect="Content" ObjectID="_1468075739" r:id="rId34">
            <o:LockedField>false</o:LockedField>
          </o:OLEObject>
        </w:object>
      </w:r>
      <w:r>
        <w:rPr>
          <w:rFonts w:hint="eastAsia" w:ascii="宋体" w:hAnsi="宋体" w:cs="宋体"/>
          <w:szCs w:val="21"/>
        </w:rPr>
        <w:t>不受上限（5年）和下限（1年）的限制。</w:t>
      </w:r>
    </w:p>
    <w:p>
      <w:pPr>
        <w:pStyle w:val="47"/>
        <w:spacing w:line="480" w:lineRule="exact"/>
        <w:ind w:firstLine="420" w:firstLineChars="200"/>
        <w:rPr>
          <w:rFonts w:ascii="宋体" w:hAnsi="宋体" w:cs="宋体"/>
          <w:color w:val="auto"/>
          <w:kern w:val="2"/>
          <w:sz w:val="21"/>
          <w:szCs w:val="21"/>
        </w:rPr>
      </w:pPr>
      <w:r>
        <w:rPr>
          <w:rFonts w:hint="eastAsia" w:ascii="宋体" w:hAnsi="宋体" w:cs="宋体"/>
          <w:position w:val="-14"/>
          <w:sz w:val="21"/>
          <w:szCs w:val="21"/>
        </w:rPr>
        <w:object>
          <v:shape id="_x0000_i1040" o:spt="75" type="#_x0000_t75" style="height:15.6pt;width:37.8pt;" o:ole="t" filled="f" o:preferrelative="t" stroked="f" coordsize="21600,21600">
            <v:path/>
            <v:fill on="f" focussize="0,0"/>
            <v:stroke on="f" joinstyle="miter"/>
            <v:imagedata r:id="rId37" o:title=""/>
            <o:lock v:ext="edit" aspectratio="t"/>
            <w10:wrap type="none"/>
            <w10:anchorlock/>
          </v:shape>
          <o:OLEObject Type="Embed" ProgID="Equation.DSMT4" ShapeID="_x0000_i1040" DrawAspect="Content" ObjectID="_1468075740" r:id="rId36">
            <o:LockedField>false</o:LockedField>
          </o:OLEObject>
        </w:object>
      </w:r>
      <w:r>
        <w:rPr>
          <w:rFonts w:hint="eastAsia" w:ascii="宋体" w:hAnsi="宋体" w:cs="宋体"/>
          <w:color w:val="auto"/>
          <w:kern w:val="2"/>
          <w:sz w:val="21"/>
          <w:szCs w:val="21"/>
        </w:rPr>
        <w:t>是保证金协议M</w:t>
      </w:r>
      <w:r>
        <w:rPr>
          <w:rFonts w:ascii="宋体" w:hAnsi="宋体" w:cs="宋体"/>
          <w:color w:val="auto"/>
          <w:kern w:val="2"/>
          <w:sz w:val="21"/>
          <w:szCs w:val="21"/>
        </w:rPr>
        <w:t>A</w:t>
      </w:r>
      <w:r>
        <w:rPr>
          <w:rFonts w:hint="eastAsia" w:ascii="宋体" w:hAnsi="宋体" w:cs="宋体"/>
          <w:color w:val="auto"/>
          <w:kern w:val="2"/>
          <w:sz w:val="21"/>
          <w:szCs w:val="21"/>
        </w:rPr>
        <w:t>的违约风险暴露，计算方法与交易对手违约风险暴露计量规则一致，详见</w:t>
      </w:r>
      <w:r>
        <w:rPr>
          <w:rFonts w:hint="eastAsia" w:ascii="Times New Roman" w:hAnsi="Times New Roman" w:cs="Times New Roman"/>
          <w:bCs/>
          <w:color w:val="auto"/>
          <w:kern w:val="2"/>
          <w:sz w:val="21"/>
          <w:szCs w:val="21"/>
        </w:rPr>
        <w:t>《办法》</w:t>
      </w:r>
      <w:r>
        <w:rPr>
          <w:rFonts w:hint="eastAsia" w:ascii="宋体" w:hAnsi="宋体" w:cs="宋体"/>
          <w:color w:val="auto"/>
          <w:kern w:val="2"/>
          <w:sz w:val="21"/>
          <w:szCs w:val="21"/>
        </w:rPr>
        <w:t>附件9。</w:t>
      </w:r>
    </w:p>
    <w:p>
      <w:pPr>
        <w:pStyle w:val="47"/>
        <w:ind w:firstLine="420" w:firstLineChars="200"/>
        <w:jc w:val="both"/>
        <w:rPr>
          <w:rFonts w:ascii="宋体" w:hAnsi="宋体" w:cs="宋体"/>
          <w:sz w:val="21"/>
          <w:szCs w:val="21"/>
        </w:rPr>
      </w:pPr>
      <w:r>
        <w:rPr>
          <w:rFonts w:hint="eastAsia" w:ascii="宋体" w:hAnsi="宋体" w:cs="宋体"/>
          <w:position w:val="-14"/>
          <w:sz w:val="21"/>
          <w:szCs w:val="21"/>
        </w:rPr>
        <w:object>
          <v:shape id="_x0000_i1041" o:spt="75" type="#_x0000_t75" style="height:15.6pt;width:29.4pt;" o:ole="t" filled="f" o:preferrelative="t" stroked="f" coordsize="21600,21600">
            <v:path/>
            <v:fill on="f" focussize="0,0"/>
            <v:stroke on="f" joinstyle="miter"/>
            <v:imagedata r:id="rId39" o:title=""/>
            <o:lock v:ext="edit" aspectratio="t"/>
            <w10:wrap type="none"/>
            <w10:anchorlock/>
          </v:shape>
          <o:OLEObject Type="Embed" ProgID="Equation.DSMT4" ShapeID="_x0000_i1041" DrawAspect="Content" ObjectID="_1468075741" r:id="rId38">
            <o:LockedField>false</o:LockedField>
          </o:OLEObject>
        </w:object>
      </w:r>
      <w:r>
        <w:rPr>
          <w:rFonts w:hint="eastAsia" w:ascii="宋体" w:hAnsi="宋体" w:cs="宋体"/>
          <w:sz w:val="21"/>
          <w:szCs w:val="21"/>
        </w:rPr>
        <w:t>是监管折现因子, 公式为</w:t>
      </w:r>
      <w:r>
        <w:drawing>
          <wp:inline distT="0" distB="0" distL="114300" distR="114300">
            <wp:extent cx="668020" cy="379730"/>
            <wp:effectExtent l="0" t="0" r="17780" b="1270"/>
            <wp:docPr id="5"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0"/>
                    <pic:cNvPicPr>
                      <a:picLocks noChangeAspect="1"/>
                    </pic:cNvPicPr>
                  </pic:nvPicPr>
                  <pic:blipFill>
                    <a:blip r:embed="rId40"/>
                    <a:stretch>
                      <a:fillRect/>
                    </a:stretch>
                  </pic:blipFill>
                  <pic:spPr>
                    <a:xfrm>
                      <a:off x="0" y="0"/>
                      <a:ext cx="668020" cy="379730"/>
                    </a:xfrm>
                    <a:prstGeom prst="rect">
                      <a:avLst/>
                    </a:prstGeom>
                    <a:noFill/>
                    <a:ln>
                      <a:noFill/>
                    </a:ln>
                  </pic:spPr>
                </pic:pic>
              </a:graphicData>
            </a:graphic>
          </wp:inline>
        </w:drawing>
      </w:r>
    </w:p>
    <w:p>
      <w:pPr>
        <w:pStyle w:val="47"/>
        <w:spacing w:line="440" w:lineRule="exact"/>
        <w:ind w:firstLine="420" w:firstLineChars="200"/>
        <w:jc w:val="both"/>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2</w:t>
      </w:r>
      <w:r>
        <w:rPr>
          <w:rFonts w:ascii="Times New Roman" w:hAnsi="Times New Roman" w:cs="Times New Roman"/>
          <w:color w:val="auto"/>
          <w:kern w:val="2"/>
          <w:sz w:val="21"/>
          <w:szCs w:val="21"/>
        </w:rPr>
        <w:t>. 信用估值调整</w:t>
      </w:r>
      <w:r>
        <w:rPr>
          <w:rFonts w:hint="eastAsia" w:ascii="Times New Roman" w:hAnsi="Times New Roman" w:cs="Times New Roman"/>
          <w:color w:val="auto"/>
          <w:kern w:val="2"/>
          <w:sz w:val="21"/>
          <w:szCs w:val="21"/>
        </w:rPr>
        <w:t>完整版</w:t>
      </w:r>
      <w:r>
        <w:rPr>
          <w:rFonts w:ascii="Times New Roman" w:hAnsi="Times New Roman" w:cs="Times New Roman"/>
          <w:color w:val="auto"/>
          <w:kern w:val="2"/>
          <w:sz w:val="21"/>
          <w:szCs w:val="21"/>
        </w:rPr>
        <w:t>风险加权资产的计算公式</w:t>
      </w:r>
    </w:p>
    <w:p>
      <w:pPr>
        <w:spacing w:line="440" w:lineRule="exact"/>
        <w:ind w:firstLine="420" w:firstLineChars="200"/>
        <w:rPr>
          <w:rFonts w:ascii="宋体" w:hAnsi="宋体" w:cs="宋体"/>
          <w:szCs w:val="21"/>
        </w:rPr>
      </w:pPr>
      <w:r>
        <w:rPr>
          <w:rFonts w:hint="eastAsia" w:ascii="宋体" w:hAnsi="宋体" w:cs="宋体"/>
          <w:szCs w:val="21"/>
        </w:rPr>
        <w:t>[2.完整版]：</w:t>
      </w:r>
      <w:r>
        <w:rPr>
          <w:rFonts w:hint="eastAsia"/>
          <w:bCs/>
          <w:szCs w:val="21"/>
        </w:rPr>
        <w:t>存在信用估值调整风险合格对冲的商业银行可适用完整版。</w:t>
      </w:r>
    </w:p>
    <w:p>
      <w:pPr>
        <w:pStyle w:val="47"/>
        <w:spacing w:line="440" w:lineRule="exact"/>
        <w:ind w:firstLine="420" w:firstLineChars="200"/>
        <w:jc w:val="both"/>
        <w:rPr>
          <w:rFonts w:ascii="宋体" w:hAnsi="宋体" w:cs="宋体"/>
          <w:color w:val="auto"/>
          <w:kern w:val="2"/>
          <w:sz w:val="21"/>
          <w:szCs w:val="21"/>
        </w:rPr>
      </w:pPr>
      <w:r>
        <w:rPr>
          <w:rFonts w:hint="eastAsia" w:ascii="宋体" w:hAnsi="宋体" w:cs="宋体"/>
          <w:color w:val="auto"/>
          <w:kern w:val="2"/>
          <w:sz w:val="21"/>
          <w:szCs w:val="21"/>
        </w:rPr>
        <w:t>（1）</w:t>
      </w:r>
      <w:r>
        <w:rPr>
          <w:rFonts w:hint="eastAsia" w:ascii="Times New Roman" w:hAnsi="Times New Roman" w:cs="Times New Roman"/>
          <w:bCs/>
          <w:color w:val="auto"/>
          <w:kern w:val="2"/>
          <w:sz w:val="21"/>
          <w:szCs w:val="21"/>
        </w:rPr>
        <w:t>填报机构</w:t>
      </w:r>
      <w:r>
        <w:rPr>
          <w:rFonts w:hint="eastAsia" w:ascii="宋体" w:hAnsi="宋体" w:cs="宋体"/>
          <w:color w:val="auto"/>
          <w:kern w:val="2"/>
          <w:sz w:val="21"/>
          <w:szCs w:val="21"/>
        </w:rPr>
        <w:t>应采用以下公式计算信用估值调整风险加权资产：</w:t>
      </w:r>
    </w:p>
    <w:p>
      <w:pPr>
        <w:pStyle w:val="47"/>
        <w:spacing w:line="480" w:lineRule="exact"/>
        <w:ind w:firstLine="480" w:firstLineChars="200"/>
        <w:jc w:val="center"/>
        <w:rPr>
          <w:rFonts w:ascii="Times New Roman" w:hAnsi="Times New Roman" w:cs="Times New Roman"/>
          <w:i/>
        </w:rPr>
      </w:pPr>
      <m:oMathPara>
        <m:oMath>
          <m:r>
            <m:rPr/>
            <w:rPr>
              <w:rFonts w:ascii="Cambria Math" w:hAnsi="Cambria Math" w:cs="Times New Roman"/>
            </w:rPr>
            <m:t>CVA</m:t>
          </m:r>
          <m:r>
            <m:rPr>
              <m:sty m:val="p"/>
            </m:rPr>
            <w:rPr>
              <w:rFonts w:ascii="Cambria Math" w:hAnsi="Cambria Math" w:cs="Times New Roman"/>
            </w:rPr>
            <m:t>风险加权资产</m:t>
          </m:r>
          <m:r>
            <m:rPr/>
            <w:rPr>
              <w:rFonts w:ascii="Cambria Math" w:hAnsi="Cambria Math" w:cs="Times New Roman"/>
            </w:rPr>
            <m:t>=12.5×0.65×</m:t>
          </m:r>
          <m:sSub>
            <m:sSubPr>
              <m:ctrlPr>
                <w:rPr>
                  <w:rFonts w:ascii="Cambria Math" w:hAnsi="Cambria Math" w:cs="Times New Roman"/>
                  <w:i/>
                </w:rPr>
              </m:ctrlPr>
            </m:sSubPr>
            <m:e>
              <m:r>
                <m:rPr/>
                <w:rPr>
                  <w:rFonts w:ascii="Cambria Math" w:hAnsi="Cambria Math" w:cs="Times New Roman"/>
                </w:rPr>
                <m:t>K</m:t>
              </m:r>
              <m:ctrlPr>
                <w:rPr>
                  <w:rFonts w:ascii="Cambria Math" w:hAnsi="Cambria Math" w:cs="Times New Roman"/>
                  <w:i/>
                </w:rPr>
              </m:ctrlPr>
            </m:e>
            <m:sub>
              <m:r>
                <m:rPr/>
                <w:rPr>
                  <w:rFonts w:ascii="Cambria Math" w:hAnsi="Cambria Math" w:cs="Times New Roman"/>
                </w:rPr>
                <m:t>full</m:t>
              </m:r>
              <m:ctrlPr>
                <w:rPr>
                  <w:rFonts w:ascii="Cambria Math" w:hAnsi="Cambria Math" w:cs="Times New Roman"/>
                  <w:i/>
                </w:rPr>
              </m:ctrlPr>
            </m:sub>
          </m:sSub>
        </m:oMath>
      </m:oMathPara>
    </w:p>
    <w:p>
      <w:pPr>
        <w:pStyle w:val="47"/>
        <w:ind w:firstLine="420" w:firstLineChars="200"/>
        <w:jc w:val="center"/>
        <w:rPr>
          <w:rFonts w:ascii="宋体" w:hAnsi="宋体" w:cs="宋体"/>
          <w:color w:val="auto"/>
          <w:kern w:val="2"/>
          <w:sz w:val="21"/>
          <w:szCs w:val="21"/>
        </w:rPr>
      </w:pPr>
      <w:r>
        <w:rPr>
          <w:rFonts w:hint="eastAsia" w:ascii="宋体" w:hAnsi="宋体" w:cs="宋体"/>
          <w:position w:val="-18"/>
          <w:sz w:val="21"/>
          <w:szCs w:val="21"/>
        </w:rPr>
        <w:object>
          <v:shape id="_x0000_i1042" o:spt="75" type="#_x0000_t75" style="height:22.2pt;width:177pt;" o:ole="t" filled="f" o:preferrelative="t" stroked="f" coordsize="21600,21600">
            <v:path/>
            <v:fill on="f" focussize="0,0"/>
            <v:stroke on="f" joinstyle="miter"/>
            <v:imagedata r:id="rId42" o:title=""/>
            <o:lock v:ext="edit" aspectratio="t"/>
            <w10:wrap type="none"/>
            <w10:anchorlock/>
          </v:shape>
          <o:OLEObject Type="Embed" ProgID="Equation.DSMT4" ShapeID="_x0000_i1042" DrawAspect="Content" ObjectID="_1468075742" r:id="rId41">
            <o:LockedField>false</o:LockedField>
          </o:OLEObject>
        </w:object>
      </w:r>
      <w:r>
        <w:rPr>
          <w:rFonts w:hint="eastAsia" w:ascii="宋体" w:hAnsi="宋体" w:cs="宋体"/>
          <w:color w:val="auto"/>
          <w:kern w:val="2"/>
          <w:sz w:val="21"/>
          <w:szCs w:val="21"/>
        </w:rPr>
        <w:t xml:space="preserve"> </w:t>
      </w:r>
    </w:p>
    <w:p>
      <w:pPr>
        <w:spacing w:line="480" w:lineRule="exact"/>
        <w:ind w:firstLine="420" w:firstLineChars="200"/>
        <w:rPr>
          <w:rFonts w:ascii="宋体" w:hAnsi="宋体" w:cs="宋体"/>
          <w:szCs w:val="21"/>
        </w:rPr>
      </w:pPr>
      <w:r>
        <w:rPr>
          <w:rFonts w:hint="eastAsia" w:ascii="宋体" w:hAnsi="宋体" w:cs="宋体"/>
          <w:szCs w:val="21"/>
        </w:rPr>
        <w:t>其中：</w:t>
      </w:r>
      <w:r>
        <w:rPr>
          <w:rFonts w:hint="eastAsia" w:ascii="宋体" w:hAnsi="宋体" w:cs="宋体"/>
          <w:position w:val="-12"/>
          <w:szCs w:val="21"/>
        </w:rPr>
        <w:object>
          <v:shape id="_x0000_i1043" o:spt="75" type="#_x0000_t75" style="height:18.6pt;width:40.2pt;" o:ole="t" filled="f" o:preferrelative="t" stroked="f" coordsize="21600,21600">
            <v:path/>
            <v:fill on="f" focussize="0,0"/>
            <v:stroke on="f" joinstyle="miter"/>
            <v:imagedata r:id="rId44" o:title=""/>
            <o:lock v:ext="edit" aspectratio="t"/>
            <w10:wrap type="none"/>
            <w10:anchorlock/>
          </v:shape>
          <o:OLEObject Type="Embed" ProgID="Equation.DSMT4" ShapeID="_x0000_i1043" DrawAspect="Content" ObjectID="_1468075743" r:id="rId43">
            <o:LockedField>false</o:LockedField>
          </o:OLEObject>
        </w:object>
      </w:r>
      <w:r>
        <w:rPr>
          <w:rFonts w:hint="eastAsia" w:ascii="宋体" w:hAnsi="宋体" w:cs="宋体"/>
          <w:szCs w:val="21"/>
        </w:rPr>
        <w:t>为简化版风险资本要求，计算方式详见</w:t>
      </w:r>
      <w:r>
        <w:rPr>
          <w:rFonts w:ascii="宋体" w:hAnsi="宋体" w:cs="宋体"/>
          <w:szCs w:val="21"/>
        </w:rPr>
        <w:t>[1.</w:t>
      </w:r>
      <w:r>
        <w:rPr>
          <w:rFonts w:hint="eastAsia" w:ascii="宋体" w:hAnsi="宋体" w:cs="宋体"/>
          <w:szCs w:val="21"/>
        </w:rPr>
        <w:t>简化版</w:t>
      </w:r>
      <w:r>
        <w:rPr>
          <w:rFonts w:ascii="宋体" w:hAnsi="宋体" w:cs="宋体"/>
          <w:szCs w:val="21"/>
        </w:rPr>
        <w:t>]</w:t>
      </w:r>
      <w:r>
        <w:rPr>
          <w:rFonts w:hint="eastAsia" w:ascii="宋体" w:hAnsi="宋体" w:cs="宋体"/>
          <w:szCs w:val="21"/>
        </w:rPr>
        <w:t>风险加权资产的计量。</w:t>
      </w:r>
    </w:p>
    <w:p>
      <w:pPr>
        <w:ind w:firstLine="420" w:firstLineChars="200"/>
        <w:rPr>
          <w:rFonts w:ascii="宋体" w:hAnsi="宋体" w:cs="宋体"/>
          <w:szCs w:val="21"/>
        </w:rPr>
      </w:pPr>
      <w:r>
        <w:rPr>
          <w:rFonts w:hint="eastAsia" w:ascii="宋体" w:hAnsi="宋体" w:cs="宋体"/>
          <w:szCs w:val="21"/>
        </w:rPr>
        <w:t>（2）认可合格对冲的部分(</w:t>
      </w:r>
      <w:bookmarkStart w:id="0" w:name="OLE_LINK4"/>
      <w:r>
        <w:rPr>
          <w:rFonts w:hint="eastAsia" w:ascii="宋体" w:hAnsi="宋体" w:cs="宋体"/>
          <w:position w:val="-18"/>
          <w:szCs w:val="21"/>
        </w:rPr>
        <w:object>
          <v:shape id="_x0000_i1044" o:spt="75" type="#_x0000_t75" style="height:22.2pt;width:45.6pt;" o:ole="t" filled="f" o:preferrelative="t" stroked="f" coordsize="21600,21600">
            <v:path/>
            <v:fill on="f" focussize="0,0"/>
            <v:stroke on="f" joinstyle="miter"/>
            <v:imagedata r:id="rId46" o:title=""/>
            <o:lock v:ext="edit" aspectratio="t"/>
            <w10:wrap type="none"/>
            <w10:anchorlock/>
          </v:shape>
          <o:OLEObject Type="Embed" ProgID="Equation.DSMT4" ShapeID="_x0000_i1044" DrawAspect="Content" ObjectID="_1468075744" r:id="rId45">
            <o:LockedField>false</o:LockedField>
          </o:OLEObject>
        </w:object>
      </w:r>
      <w:bookmarkEnd w:id="0"/>
      <w:r>
        <w:rPr>
          <w:rFonts w:hint="eastAsia" w:ascii="宋体" w:hAnsi="宋体" w:cs="宋体"/>
          <w:szCs w:val="21"/>
        </w:rPr>
        <w:t>)计算公式如下：</w:t>
      </w:r>
    </w:p>
    <w:p>
      <w:pPr>
        <w:jc w:val="center"/>
        <w:rPr>
          <w:rFonts w:ascii="宋体" w:hAnsi="宋体" w:cs="宋体"/>
          <w:szCs w:val="21"/>
        </w:rPr>
      </w:pPr>
      <w:r>
        <w:drawing>
          <wp:inline distT="0" distB="0" distL="114300" distR="114300">
            <wp:extent cx="4987925" cy="626110"/>
            <wp:effectExtent l="0" t="0" r="3175" b="2540"/>
            <wp:docPr id="6"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1"/>
                    <pic:cNvPicPr>
                      <a:picLocks noChangeAspect="1"/>
                    </pic:cNvPicPr>
                  </pic:nvPicPr>
                  <pic:blipFill>
                    <a:blip r:embed="rId47"/>
                    <a:stretch>
                      <a:fillRect/>
                    </a:stretch>
                  </pic:blipFill>
                  <pic:spPr>
                    <a:xfrm>
                      <a:off x="0" y="0"/>
                      <a:ext cx="4987925" cy="626110"/>
                    </a:xfrm>
                    <a:prstGeom prst="rect">
                      <a:avLst/>
                    </a:prstGeom>
                    <a:noFill/>
                    <a:ln>
                      <a:noFill/>
                    </a:ln>
                  </pic:spPr>
                </pic:pic>
              </a:graphicData>
            </a:graphic>
          </wp:inline>
        </w:drawing>
      </w:r>
    </w:p>
    <w:p>
      <w:pPr>
        <w:pStyle w:val="47"/>
        <w:spacing w:line="440" w:lineRule="exact"/>
        <w:ind w:firstLine="420" w:firstLineChars="200"/>
        <w:rPr>
          <w:rFonts w:ascii="宋体" w:hAnsi="宋体" w:cs="宋体"/>
          <w:color w:val="auto"/>
          <w:kern w:val="2"/>
          <w:sz w:val="21"/>
          <w:szCs w:val="21"/>
        </w:rPr>
      </w:pPr>
      <w:r>
        <w:rPr>
          <w:rFonts w:hint="eastAsia" w:ascii="宋体" w:hAnsi="宋体" w:cs="宋体"/>
          <w:color w:val="auto"/>
          <w:kern w:val="2"/>
          <w:sz w:val="21"/>
          <w:szCs w:val="21"/>
        </w:rPr>
        <w:t>其中：</w:t>
      </w:r>
      <w:r>
        <w:rPr>
          <w:rFonts w:hint="eastAsia" w:ascii="宋体" w:hAnsi="宋体" w:cs="宋体"/>
          <w:position w:val="-12"/>
          <w:sz w:val="21"/>
          <w:szCs w:val="21"/>
        </w:rPr>
        <w:object>
          <v:shape id="_x0000_i1045" o:spt="75" type="#_x0000_t75" style="height:16.2pt;width:38.4pt;" o:ole="t" filled="f" o:preferrelative="t" stroked="f" coordsize="21600,21600">
            <v:path/>
            <v:fill on="f" focussize="0,0"/>
            <v:stroke on="f" joinstyle="miter"/>
            <v:imagedata r:id="rId49" o:title=""/>
            <o:lock v:ext="edit" aspectratio="t"/>
            <w10:wrap type="none"/>
            <w10:anchorlock/>
          </v:shape>
          <o:OLEObject Type="Embed" ProgID="Equation.DSMT4" ShapeID="_x0000_i1045" DrawAspect="Content" ObjectID="_1468075745" r:id="rId48">
            <o:LockedField>false</o:LockedField>
          </o:OLEObject>
        </w:object>
      </w:r>
      <w:r>
        <w:rPr>
          <w:rFonts w:hint="eastAsia" w:ascii="宋体" w:hAnsi="宋体" w:cs="宋体"/>
          <w:color w:val="auto"/>
          <w:kern w:val="2"/>
          <w:sz w:val="21"/>
          <w:szCs w:val="21"/>
        </w:rPr>
        <w:t>是单独考虑交易对手c的信用估值调整资本要求，公式详见</w:t>
      </w:r>
      <w:r>
        <w:rPr>
          <w:rFonts w:ascii="宋体" w:hAnsi="宋体" w:cs="宋体"/>
          <w:color w:val="auto"/>
          <w:kern w:val="2"/>
          <w:sz w:val="21"/>
          <w:szCs w:val="21"/>
        </w:rPr>
        <w:t>[1.</w:t>
      </w:r>
      <w:r>
        <w:rPr>
          <w:rFonts w:hint="eastAsia" w:ascii="宋体" w:hAnsi="宋体" w:cs="宋体"/>
          <w:color w:val="auto"/>
          <w:kern w:val="2"/>
          <w:sz w:val="21"/>
          <w:szCs w:val="21"/>
        </w:rPr>
        <w:t>简化版</w:t>
      </w:r>
      <w:r>
        <w:rPr>
          <w:rFonts w:ascii="宋体" w:hAnsi="宋体" w:cs="宋体"/>
          <w:color w:val="auto"/>
          <w:kern w:val="2"/>
          <w:sz w:val="21"/>
          <w:szCs w:val="21"/>
        </w:rPr>
        <w:t>]</w:t>
      </w:r>
      <w:r>
        <w:rPr>
          <w:rFonts w:hint="eastAsia" w:ascii="宋体" w:hAnsi="宋体" w:cs="宋体"/>
          <w:color w:val="auto"/>
          <w:kern w:val="2"/>
          <w:sz w:val="21"/>
          <w:szCs w:val="21"/>
        </w:rPr>
        <w:t>。</w:t>
      </w:r>
    </w:p>
    <w:p>
      <w:pPr>
        <w:pStyle w:val="47"/>
        <w:spacing w:line="440" w:lineRule="exact"/>
        <w:ind w:firstLine="420" w:firstLineChars="200"/>
        <w:jc w:val="both"/>
        <w:rPr>
          <w:rFonts w:ascii="宋体" w:hAnsi="宋体" w:cs="宋体"/>
          <w:color w:val="auto"/>
          <w:kern w:val="2"/>
          <w:sz w:val="21"/>
          <w:szCs w:val="21"/>
        </w:rPr>
      </w:pPr>
      <w:r>
        <w:rPr>
          <w:rFonts w:hint="eastAsia" w:ascii="宋体" w:hAnsi="宋体" w:cs="宋体"/>
          <w:position w:val="-12"/>
          <w:sz w:val="21"/>
          <w:szCs w:val="21"/>
        </w:rPr>
        <w:object>
          <v:shape id="_x0000_i1046" o:spt="75" type="#_x0000_t75" style="height:16.2pt;width:13.8pt;" o:ole="t" filled="f" o:preferrelative="t" stroked="f" coordsize="21600,21600">
            <v:path/>
            <v:fill on="f" focussize="0,0"/>
            <v:stroke on="f" joinstyle="miter"/>
            <v:imagedata r:id="rId51" o:title=""/>
            <o:lock v:ext="edit" aspectratio="t"/>
            <w10:wrap type="none"/>
            <w10:anchorlock/>
          </v:shape>
          <o:OLEObject Type="Embed" ProgID="Equation.DSMT4" ShapeID="_x0000_i1046" DrawAspect="Content" ObjectID="_1468075746" r:id="rId50">
            <o:LockedField>false</o:LockedField>
          </o:OLEObject>
        </w:object>
      </w:r>
      <w:r>
        <w:rPr>
          <w:rFonts w:hint="eastAsia" w:ascii="宋体" w:hAnsi="宋体" w:cs="宋体"/>
          <w:color w:val="auto"/>
          <w:kern w:val="2"/>
          <w:sz w:val="21"/>
          <w:szCs w:val="21"/>
        </w:rPr>
        <w:t>=0.5。</w:t>
      </w:r>
    </w:p>
    <w:p>
      <w:pPr>
        <w:spacing w:line="440" w:lineRule="exact"/>
        <w:ind w:firstLine="420" w:firstLineChars="200"/>
        <w:rPr>
          <w:rFonts w:ascii="宋体" w:hAnsi="宋体" w:cs="宋体"/>
          <w:szCs w:val="21"/>
        </w:rPr>
      </w:pPr>
      <w:r>
        <w:rPr>
          <w:rFonts w:hint="eastAsia" w:ascii="宋体" w:hAnsi="宋体" w:cs="宋体"/>
          <w:szCs w:val="21"/>
        </w:rPr>
        <w:t>（3）</w:t>
      </w:r>
      <w:r>
        <w:rPr>
          <w:rFonts w:hint="eastAsia" w:ascii="宋体" w:hAnsi="宋体" w:cs="宋体"/>
          <w:position w:val="-12"/>
          <w:szCs w:val="21"/>
        </w:rPr>
        <w:object>
          <v:shape id="_x0000_i1047" o:spt="75" type="#_x0000_t75" style="height:18pt;width:33.6pt;" o:ole="t" filled="f" o:preferrelative="t" stroked="f" coordsize="21600,21600">
            <v:path/>
            <v:fill on="f" focussize="0,0"/>
            <v:stroke on="f" joinstyle="miter"/>
            <v:imagedata r:id="rId53" o:title=""/>
            <o:lock v:ext="edit" aspectratio="t"/>
            <w10:wrap type="none"/>
            <w10:anchorlock/>
          </v:shape>
          <o:OLEObject Type="Embed" ProgID="Equation.DSMT4" ShapeID="_x0000_i1047" DrawAspect="Content" ObjectID="_1468075747" r:id="rId52">
            <o:LockedField>false</o:LockedField>
          </o:OLEObject>
        </w:object>
      </w:r>
      <w:r>
        <w:rPr>
          <w:rFonts w:hint="eastAsia" w:ascii="宋体" w:hAnsi="宋体" w:cs="宋体"/>
          <w:szCs w:val="21"/>
        </w:rPr>
        <w:t>表示因银行使用信用利差风险的单名对冲工具，导致交易对手c的CVA风险降低，计算公式如下：</w:t>
      </w:r>
    </w:p>
    <w:p>
      <w:pPr>
        <w:ind w:firstLine="420" w:firstLineChars="200"/>
        <w:jc w:val="center"/>
        <w:rPr>
          <w:rFonts w:ascii="宋体" w:hAnsi="宋体" w:cs="宋体"/>
          <w:szCs w:val="21"/>
        </w:rPr>
      </w:pPr>
      <w:r>
        <w:drawing>
          <wp:inline distT="0" distB="0" distL="114300" distR="114300">
            <wp:extent cx="2334260" cy="394335"/>
            <wp:effectExtent l="0" t="0" r="8890" b="5715"/>
            <wp:docPr id="7"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2"/>
                    <pic:cNvPicPr>
                      <a:picLocks noChangeAspect="1"/>
                    </pic:cNvPicPr>
                  </pic:nvPicPr>
                  <pic:blipFill>
                    <a:blip r:embed="rId54"/>
                    <a:stretch>
                      <a:fillRect/>
                    </a:stretch>
                  </pic:blipFill>
                  <pic:spPr>
                    <a:xfrm>
                      <a:off x="0" y="0"/>
                      <a:ext cx="2334260" cy="394335"/>
                    </a:xfrm>
                    <a:prstGeom prst="rect">
                      <a:avLst/>
                    </a:prstGeom>
                    <a:noFill/>
                    <a:ln>
                      <a:noFill/>
                    </a:ln>
                  </pic:spPr>
                </pic:pic>
              </a:graphicData>
            </a:graphic>
          </wp:inline>
        </w:drawing>
      </w:r>
    </w:p>
    <w:p>
      <w:pPr>
        <w:spacing w:line="480" w:lineRule="exact"/>
        <w:ind w:firstLine="420" w:firstLineChars="200"/>
        <w:rPr>
          <w:rFonts w:ascii="宋体" w:hAnsi="宋体" w:cs="宋体"/>
          <w:szCs w:val="21"/>
        </w:rPr>
      </w:pPr>
      <w:r>
        <w:rPr>
          <w:rFonts w:hint="eastAsia" w:ascii="宋体" w:hAnsi="宋体" w:cs="宋体"/>
          <w:szCs w:val="21"/>
        </w:rPr>
        <w:t>其中：</w:t>
      </w:r>
    </w:p>
    <w:p>
      <w:pPr>
        <w:ind w:firstLine="420" w:firstLineChars="200"/>
        <w:rPr>
          <w:rFonts w:ascii="宋体" w:hAnsi="宋体" w:cs="宋体"/>
          <w:szCs w:val="21"/>
        </w:rPr>
      </w:pPr>
      <w:r>
        <w:rPr>
          <w:rFonts w:hint="eastAsia" w:ascii="宋体" w:hAnsi="宋体" w:cs="宋体"/>
          <w:szCs w:val="21"/>
        </w:rPr>
        <w:object>
          <v:shape id="_x0000_i1048" o:spt="75" type="#_x0000_t75" style="height:19.8pt;width:22.2pt;" o:ole="t" filled="f" o:preferrelative="t" stroked="f" coordsize="21600,21600">
            <v:path/>
            <v:fill on="f" focussize="0,0"/>
            <v:stroke on="f" joinstyle="miter"/>
            <v:imagedata r:id="rId56" o:title=""/>
            <o:lock v:ext="edit" aspectratio="t"/>
            <w10:wrap type="none"/>
            <w10:anchorlock/>
          </v:shape>
          <o:OLEObject Type="Embed" ProgID="Equation.DSMT4" ShapeID="_x0000_i1048" DrawAspect="Content" ObjectID="_1468075748" r:id="rId55">
            <o:LockedField>false</o:LockedField>
          </o:OLEObject>
        </w:object>
      </w:r>
      <w:r>
        <w:rPr>
          <w:rFonts w:hint="eastAsia" w:ascii="宋体" w:hAnsi="宋体" w:cs="宋体"/>
          <w:szCs w:val="21"/>
        </w:rPr>
        <w:t>表示交易对手c的信用利差与单名信用违约互换套期工具h的信用利差之间的相关系数，详见表</w:t>
      </w:r>
      <w:r>
        <w:rPr>
          <w:rFonts w:ascii="宋体" w:hAnsi="宋体" w:cs="宋体"/>
          <w:szCs w:val="21"/>
        </w:rPr>
        <w:t>2</w:t>
      </w:r>
      <w:r>
        <w:rPr>
          <w:rFonts w:hint="eastAsia" w:ascii="宋体" w:hAnsi="宋体" w:cs="宋体"/>
          <w:szCs w:val="21"/>
        </w:rPr>
        <w:t>。</w:t>
      </w:r>
    </w:p>
    <w:p>
      <w:pPr>
        <w:ind w:firstLine="420" w:firstLineChars="200"/>
        <w:rPr>
          <w:rFonts w:ascii="宋体" w:hAnsi="宋体" w:cs="宋体"/>
          <w:szCs w:val="21"/>
        </w:rPr>
      </w:pPr>
      <w:r>
        <w:rPr>
          <w:rFonts w:hint="eastAsia" w:ascii="宋体" w:hAnsi="宋体" w:cs="宋体"/>
          <w:szCs w:val="21"/>
        </w:rPr>
        <w:object>
          <v:shape id="_x0000_i1049" o:spt="75" type="#_x0000_t75" style="height:18.6pt;width:27.6pt;" o:ole="t" filled="f" o:preferrelative="t" stroked="f" coordsize="21600,21600">
            <v:path/>
            <v:fill on="f" focussize="0,0"/>
            <v:stroke on="f" joinstyle="miter"/>
            <v:imagedata r:id="rId58" o:title=""/>
            <o:lock v:ext="edit" aspectratio="t"/>
            <w10:wrap type="none"/>
            <w10:anchorlock/>
          </v:shape>
          <o:OLEObject Type="Embed" ProgID="Equation.DSMT4" ShapeID="_x0000_i1049" DrawAspect="Content" ObjectID="_1468075749" r:id="rId57">
            <o:LockedField>false</o:LockedField>
          </o:OLEObject>
        </w:object>
      </w:r>
      <w:r>
        <w:rPr>
          <w:rFonts w:hint="eastAsia" w:ascii="宋体" w:hAnsi="宋体" w:cs="宋体"/>
          <w:szCs w:val="21"/>
        </w:rPr>
        <w:t>是单名信用违约互换套期工具h的剩余期限。</w:t>
      </w:r>
    </w:p>
    <w:p>
      <w:pPr>
        <w:ind w:firstLine="420" w:firstLineChars="200"/>
        <w:rPr>
          <w:rFonts w:ascii="宋体" w:hAnsi="宋体" w:cs="宋体"/>
          <w:szCs w:val="21"/>
        </w:rPr>
      </w:pPr>
      <w:r>
        <w:rPr>
          <w:rFonts w:hint="eastAsia" w:ascii="宋体" w:hAnsi="宋体" w:cs="宋体"/>
          <w:szCs w:val="21"/>
        </w:rPr>
        <w:object>
          <v:shape id="_x0000_i1050" o:spt="75" type="#_x0000_t75" style="height:19.2pt;width:25.2pt;" o:ole="t" filled="f" o:preferrelative="t" stroked="f" coordsize="21600,21600">
            <v:path/>
            <v:fill on="f" focussize="0,0"/>
            <v:stroke on="f" joinstyle="miter"/>
            <v:imagedata r:id="rId60" o:title=""/>
            <o:lock v:ext="edit" aspectratio="t"/>
            <w10:wrap type="none"/>
            <w10:anchorlock/>
          </v:shape>
          <o:OLEObject Type="Embed" ProgID="Equation.DSMT4" ShapeID="_x0000_i1050" DrawAspect="Content" ObjectID="_1468075750" r:id="rId59">
            <o:LockedField>false</o:LockedField>
          </o:OLEObject>
        </w:object>
      </w:r>
      <w:r>
        <w:rPr>
          <w:rFonts w:hint="eastAsia" w:ascii="宋体" w:hAnsi="宋体" w:cs="宋体"/>
          <w:szCs w:val="21"/>
        </w:rPr>
        <w:t>是单名信用违约互换套期工具h的名义本金。对于单名或有信用违约互换, 名义金额根据参考资产组合或工具的当前市场价值确定。</w:t>
      </w:r>
    </w:p>
    <w:p>
      <w:pPr>
        <w:ind w:firstLine="420" w:firstLineChars="200"/>
        <w:rPr>
          <w:rFonts w:ascii="宋体" w:hAnsi="宋体" w:cs="宋体"/>
          <w:szCs w:val="21"/>
        </w:rPr>
      </w:pPr>
      <w:r>
        <w:rPr>
          <w:rFonts w:hint="eastAsia" w:ascii="宋体" w:hAnsi="宋体" w:cs="宋体"/>
          <w:szCs w:val="21"/>
        </w:rPr>
        <w:object>
          <v:shape id="_x0000_i1051" o:spt="75" type="#_x0000_t75" style="height:18.6pt;width:33pt;" o:ole="t" filled="f" o:preferrelative="t" stroked="f" coordsize="21600,21600">
            <v:path/>
            <v:fill on="f" focussize="0,0"/>
            <v:stroke on="f" joinstyle="miter"/>
            <v:imagedata r:id="rId62" o:title=""/>
            <o:lock v:ext="edit" aspectratio="t"/>
            <w10:wrap type="none"/>
            <w10:anchorlock/>
          </v:shape>
          <o:OLEObject Type="Embed" ProgID="Equation.DSMT4" ShapeID="_x0000_i1051" DrawAspect="Content" ObjectID="_1468075751" r:id="rId61">
            <o:LockedField>false</o:LockedField>
          </o:OLEObject>
        </w:object>
      </w:r>
      <w:r>
        <w:rPr>
          <w:rFonts w:hint="eastAsia" w:ascii="宋体" w:hAnsi="宋体" w:cs="宋体"/>
          <w:szCs w:val="21"/>
        </w:rPr>
        <w:t>是监管折现因子, 公式为</w:t>
      </w:r>
      <w:r>
        <w:drawing>
          <wp:inline distT="0" distB="0" distL="114300" distR="114300">
            <wp:extent cx="632460" cy="415290"/>
            <wp:effectExtent l="0" t="0" r="15240" b="3810"/>
            <wp:docPr id="9"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3"/>
                    <pic:cNvPicPr>
                      <a:picLocks noChangeAspect="1"/>
                    </pic:cNvPicPr>
                  </pic:nvPicPr>
                  <pic:blipFill>
                    <a:blip r:embed="rId63"/>
                    <a:stretch>
                      <a:fillRect/>
                    </a:stretch>
                  </pic:blipFill>
                  <pic:spPr>
                    <a:xfrm>
                      <a:off x="0" y="0"/>
                      <a:ext cx="632460" cy="415290"/>
                    </a:xfrm>
                    <a:prstGeom prst="rect">
                      <a:avLst/>
                    </a:prstGeom>
                    <a:noFill/>
                    <a:ln>
                      <a:noFill/>
                    </a:ln>
                  </pic:spPr>
                </pic:pic>
              </a:graphicData>
            </a:graphic>
          </wp:inline>
        </w:drawing>
      </w:r>
      <w:r>
        <w:rPr>
          <w:rFonts w:hint="eastAsia" w:ascii="宋体" w:hAnsi="宋体" w:cs="宋体"/>
          <w:szCs w:val="21"/>
        </w:rPr>
        <w:t xml:space="preserve">。 </w:t>
      </w:r>
    </w:p>
    <w:p>
      <w:pPr>
        <w:ind w:firstLine="420" w:firstLineChars="200"/>
        <w:rPr>
          <w:rFonts w:ascii="宋体" w:hAnsi="宋体" w:cs="宋体"/>
          <w:szCs w:val="21"/>
        </w:rPr>
      </w:pPr>
      <w:r>
        <w:rPr>
          <w:rFonts w:hint="eastAsia" w:ascii="宋体" w:hAnsi="宋体" w:cs="宋体"/>
          <w:position w:val="-16"/>
          <w:szCs w:val="21"/>
        </w:rPr>
        <w:object>
          <v:shape id="_x0000_i1052" o:spt="75" type="#_x0000_t75" style="height:16.8pt;width:27pt;" o:ole="t" filled="f" o:preferrelative="t" stroked="f" coordsize="21600,21600">
            <v:path/>
            <v:fill on="f" focussize="0,0"/>
            <v:stroke on="f" joinstyle="miter"/>
            <v:imagedata r:id="rId65" o:title=""/>
            <o:lock v:ext="edit" aspectratio="t"/>
            <w10:wrap type="none"/>
            <w10:anchorlock/>
          </v:shape>
          <o:OLEObject Type="Embed" ProgID="Equation.DSMT4" ShapeID="_x0000_i1052" DrawAspect="Content" ObjectID="_1468075752" r:id="rId64">
            <o:LockedField>false</o:LockedField>
          </o:OLEObject>
        </w:object>
      </w:r>
      <w:r>
        <w:rPr>
          <w:rFonts w:hint="eastAsia" w:ascii="宋体" w:hAnsi="宋体" w:cs="宋体"/>
          <w:szCs w:val="21"/>
        </w:rPr>
        <w:t>是单名信用违约互换套期工具h的监管风险权重，基于所在行业和信用水平，详见表</w:t>
      </w:r>
      <w:r>
        <w:rPr>
          <w:rFonts w:ascii="宋体" w:hAnsi="宋体" w:cs="宋体"/>
          <w:szCs w:val="21"/>
        </w:rPr>
        <w:t>1</w:t>
      </w:r>
      <w:r>
        <w:rPr>
          <w:rFonts w:hint="eastAsia" w:ascii="宋体" w:hAnsi="宋体" w:cs="宋体"/>
          <w:szCs w:val="21"/>
        </w:rPr>
        <w:t>。</w:t>
      </w:r>
    </w:p>
    <w:p>
      <w:pPr>
        <w:spacing w:line="440" w:lineRule="exact"/>
        <w:ind w:firstLine="420" w:firstLineChars="200"/>
        <w:rPr>
          <w:rFonts w:ascii="宋体" w:hAnsi="宋体" w:cs="宋体"/>
          <w:szCs w:val="21"/>
        </w:rPr>
      </w:pPr>
      <w:r>
        <w:rPr>
          <w:rFonts w:hint="eastAsia" w:ascii="宋体" w:hAnsi="宋体" w:cs="宋体"/>
          <w:szCs w:val="21"/>
        </w:rPr>
        <w:t>交易对手与单名信用违约互换套期工具的信用利差相关系数列表如下：</w:t>
      </w:r>
    </w:p>
    <w:p>
      <w:pPr>
        <w:spacing w:line="480" w:lineRule="exact"/>
        <w:jc w:val="center"/>
        <w:rPr>
          <w:rFonts w:ascii="宋体" w:hAnsi="宋体" w:cs="宋体"/>
          <w:b/>
          <w:szCs w:val="21"/>
        </w:rPr>
      </w:pPr>
      <w:r>
        <w:rPr>
          <w:rFonts w:hint="eastAsia" w:ascii="宋体" w:hAnsi="宋体" w:cs="宋体"/>
          <w:b/>
          <w:szCs w:val="21"/>
        </w:rPr>
        <w:t>表2：交易对手与单名信用违约互换套期工具的信用利差相关系数</w:t>
      </w:r>
    </w:p>
    <w:tbl>
      <w:tblPr>
        <w:tblStyle w:val="21"/>
        <w:tblW w:w="0" w:type="auto"/>
        <w:tblInd w:w="82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4514"/>
        <w:gridCol w:w="1921"/>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90" w:hRule="atLeast"/>
        </w:trPr>
        <w:tc>
          <w:tcPr>
            <w:tcW w:w="4514" w:type="dxa"/>
            <w:vAlign w:val="center"/>
          </w:tcPr>
          <w:p>
            <w:pPr>
              <w:pStyle w:val="46"/>
              <w:spacing w:line="360" w:lineRule="auto"/>
              <w:jc w:val="center"/>
              <w:rPr>
                <w:rFonts w:ascii="宋体" w:hAnsi="宋体" w:cs="宋体"/>
                <w:b/>
                <w:kern w:val="2"/>
                <w:sz w:val="21"/>
                <w:szCs w:val="21"/>
                <w:lang w:eastAsia="zh-CN"/>
              </w:rPr>
            </w:pPr>
            <w:r>
              <w:rPr>
                <w:rFonts w:hint="eastAsia" w:ascii="宋体" w:hAnsi="宋体" w:cs="宋体"/>
                <w:b/>
                <w:kern w:val="2"/>
                <w:sz w:val="21"/>
                <w:szCs w:val="21"/>
                <w:lang w:eastAsia="zh-CN"/>
              </w:rPr>
              <w:t>单名信用违约互换套期工具</w:t>
            </w:r>
          </w:p>
        </w:tc>
        <w:tc>
          <w:tcPr>
            <w:tcW w:w="1921" w:type="dxa"/>
            <w:vAlign w:val="center"/>
          </w:tcPr>
          <w:p>
            <w:pPr>
              <w:pStyle w:val="47"/>
              <w:spacing w:line="360" w:lineRule="auto"/>
              <w:jc w:val="center"/>
              <w:rPr>
                <w:rFonts w:ascii="宋体" w:hAnsi="宋体" w:cs="宋体"/>
                <w:b/>
                <w:color w:val="auto"/>
                <w:kern w:val="2"/>
                <w:sz w:val="21"/>
                <w:szCs w:val="21"/>
              </w:rPr>
            </w:pPr>
            <w:r>
              <w:rPr>
                <w:rFonts w:hint="eastAsia" w:ascii="宋体" w:hAnsi="宋体" w:cs="宋体"/>
                <w:b/>
                <w:color w:val="auto"/>
                <w:kern w:val="2"/>
                <w:sz w:val="21"/>
                <w:szCs w:val="21"/>
              </w:rPr>
              <w:t>相关系数</w:t>
            </w:r>
            <w:r>
              <w:rPr>
                <w:rFonts w:hint="eastAsia" w:ascii="宋体" w:hAnsi="宋体" w:cs="宋体"/>
                <w:position w:val="-16"/>
                <w:sz w:val="21"/>
                <w:szCs w:val="21"/>
              </w:rPr>
              <w:object>
                <v:shape id="_x0000_i1053" o:spt="75" type="#_x0000_t75" style="height:19.8pt;width:22.2pt;" o:ole="t" filled="f" o:preferrelative="t" stroked="f" coordsize="21600,21600">
                  <v:path/>
                  <v:fill on="f" focussize="0,0"/>
                  <v:stroke on="f" joinstyle="miter"/>
                  <v:imagedata r:id="rId67" o:title=""/>
                  <o:lock v:ext="edit" aspectratio="t"/>
                  <w10:wrap type="none"/>
                  <w10:anchorlock/>
                </v:shape>
                <o:OLEObject Type="Embed" ProgID="Equation.DSMT4" ShapeID="_x0000_i1053" DrawAspect="Content" ObjectID="_1468075753" r:id="rId66">
                  <o:LockedField>false</o:LockedField>
                </o:OLEObject>
              </w:object>
            </w:r>
            <w:r>
              <w:rPr>
                <w:rFonts w:hint="eastAsia" w:ascii="宋体" w:hAnsi="宋体" w:cs="宋体"/>
                <w:b/>
                <w:color w:val="auto"/>
                <w:sz w:val="21"/>
                <w:szCs w:val="21"/>
                <w:vertAlign w:val="subscript"/>
              </w:rPr>
              <w:t xml:space="preserve"> </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66" w:hRule="atLeast"/>
        </w:trPr>
        <w:tc>
          <w:tcPr>
            <w:tcW w:w="4514" w:type="dxa"/>
          </w:tcPr>
          <w:p>
            <w:pPr>
              <w:pStyle w:val="47"/>
              <w:spacing w:line="360" w:lineRule="auto"/>
              <w:jc w:val="both"/>
              <w:rPr>
                <w:rFonts w:ascii="宋体" w:hAnsi="宋体" w:cs="宋体"/>
                <w:bCs/>
                <w:color w:val="auto"/>
                <w:kern w:val="2"/>
                <w:sz w:val="21"/>
                <w:szCs w:val="21"/>
              </w:rPr>
            </w:pPr>
            <w:r>
              <w:rPr>
                <w:rFonts w:hint="eastAsia" w:ascii="宋体" w:hAnsi="宋体" w:cs="宋体"/>
                <w:bCs/>
                <w:color w:val="auto"/>
                <w:kern w:val="2"/>
                <w:sz w:val="21"/>
                <w:szCs w:val="21"/>
              </w:rPr>
              <w:t>直接基于相同交易对手</w:t>
            </w:r>
          </w:p>
        </w:tc>
        <w:tc>
          <w:tcPr>
            <w:tcW w:w="1921" w:type="dxa"/>
          </w:tcPr>
          <w:p>
            <w:pPr>
              <w:pStyle w:val="47"/>
              <w:spacing w:line="360" w:lineRule="auto"/>
              <w:jc w:val="center"/>
              <w:rPr>
                <w:rFonts w:ascii="宋体" w:hAnsi="宋体" w:cs="宋体"/>
                <w:bCs/>
                <w:color w:val="auto"/>
                <w:kern w:val="2"/>
                <w:sz w:val="21"/>
                <w:szCs w:val="21"/>
              </w:rPr>
            </w:pPr>
            <w:r>
              <w:rPr>
                <w:rFonts w:hint="eastAsia" w:ascii="宋体" w:hAnsi="宋体" w:cs="宋体"/>
                <w:bCs/>
                <w:color w:val="auto"/>
                <w:kern w:val="2"/>
                <w:sz w:val="21"/>
                <w:szCs w:val="21"/>
              </w:rPr>
              <w:t>100%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66" w:hRule="atLeast"/>
        </w:trPr>
        <w:tc>
          <w:tcPr>
            <w:tcW w:w="4514" w:type="dxa"/>
          </w:tcPr>
          <w:p>
            <w:pPr>
              <w:pStyle w:val="47"/>
              <w:spacing w:line="360" w:lineRule="auto"/>
              <w:jc w:val="both"/>
              <w:rPr>
                <w:rFonts w:ascii="宋体" w:hAnsi="宋体" w:cs="宋体"/>
                <w:bCs/>
                <w:color w:val="auto"/>
                <w:kern w:val="2"/>
                <w:sz w:val="21"/>
                <w:szCs w:val="21"/>
              </w:rPr>
            </w:pPr>
            <w:r>
              <w:rPr>
                <w:rFonts w:hint="eastAsia" w:ascii="宋体" w:hAnsi="宋体" w:cs="宋体"/>
                <w:bCs/>
                <w:color w:val="auto"/>
                <w:kern w:val="2"/>
                <w:sz w:val="21"/>
                <w:szCs w:val="21"/>
              </w:rPr>
              <w:t>与交易对手具有法律相关性</w:t>
            </w:r>
          </w:p>
        </w:tc>
        <w:tc>
          <w:tcPr>
            <w:tcW w:w="1921" w:type="dxa"/>
          </w:tcPr>
          <w:p>
            <w:pPr>
              <w:pStyle w:val="47"/>
              <w:spacing w:line="360" w:lineRule="auto"/>
              <w:jc w:val="center"/>
              <w:rPr>
                <w:rFonts w:ascii="宋体" w:hAnsi="宋体" w:cs="宋体"/>
                <w:bCs/>
                <w:color w:val="auto"/>
                <w:kern w:val="2"/>
                <w:sz w:val="21"/>
                <w:szCs w:val="21"/>
              </w:rPr>
            </w:pPr>
            <w:r>
              <w:rPr>
                <w:rFonts w:hint="eastAsia" w:ascii="宋体" w:hAnsi="宋体" w:cs="宋体"/>
                <w:bCs/>
                <w:color w:val="auto"/>
                <w:kern w:val="2"/>
                <w:sz w:val="21"/>
                <w:szCs w:val="21"/>
              </w:rPr>
              <w:t>80%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66" w:hRule="atLeast"/>
        </w:trPr>
        <w:tc>
          <w:tcPr>
            <w:tcW w:w="4514" w:type="dxa"/>
          </w:tcPr>
          <w:p>
            <w:pPr>
              <w:pStyle w:val="47"/>
              <w:spacing w:line="360" w:lineRule="auto"/>
              <w:jc w:val="both"/>
              <w:rPr>
                <w:rFonts w:ascii="宋体" w:hAnsi="宋体" w:cs="宋体"/>
                <w:bCs/>
                <w:color w:val="auto"/>
                <w:kern w:val="2"/>
                <w:sz w:val="21"/>
                <w:szCs w:val="21"/>
              </w:rPr>
            </w:pPr>
            <w:r>
              <w:rPr>
                <w:rFonts w:hint="eastAsia" w:ascii="宋体" w:hAnsi="宋体" w:cs="宋体"/>
                <w:bCs/>
                <w:color w:val="auto"/>
                <w:kern w:val="2"/>
                <w:sz w:val="21"/>
                <w:szCs w:val="21"/>
              </w:rPr>
              <w:t>与交易对手同在一个行业或地区</w:t>
            </w:r>
          </w:p>
        </w:tc>
        <w:tc>
          <w:tcPr>
            <w:tcW w:w="1921" w:type="dxa"/>
          </w:tcPr>
          <w:p>
            <w:pPr>
              <w:pStyle w:val="47"/>
              <w:spacing w:line="360" w:lineRule="auto"/>
              <w:jc w:val="center"/>
              <w:rPr>
                <w:rFonts w:ascii="宋体" w:hAnsi="宋体" w:cs="宋体"/>
                <w:bCs/>
                <w:color w:val="auto"/>
                <w:kern w:val="2"/>
                <w:sz w:val="21"/>
                <w:szCs w:val="21"/>
              </w:rPr>
            </w:pPr>
            <w:r>
              <w:rPr>
                <w:rFonts w:hint="eastAsia" w:ascii="宋体" w:hAnsi="宋体" w:cs="宋体"/>
                <w:bCs/>
                <w:color w:val="auto"/>
                <w:kern w:val="2"/>
                <w:sz w:val="21"/>
                <w:szCs w:val="21"/>
              </w:rPr>
              <w:t>50%</w:t>
            </w:r>
          </w:p>
        </w:tc>
      </w:tr>
    </w:tbl>
    <w:p>
      <w:pPr>
        <w:spacing w:line="440" w:lineRule="exact"/>
        <w:ind w:firstLine="420" w:firstLineChars="200"/>
        <w:rPr>
          <w:rFonts w:ascii="宋体" w:hAnsi="宋体" w:cs="宋体"/>
          <w:szCs w:val="21"/>
        </w:rPr>
      </w:pPr>
      <w:r>
        <w:rPr>
          <w:rFonts w:hint="eastAsia" w:ascii="宋体" w:hAnsi="宋体" w:cs="宋体"/>
          <w:szCs w:val="21"/>
        </w:rPr>
        <w:t>（4）IH表示银行使用指数对冲工具，导致交易对手整体层面的CVA风险降低，计算公式如下：</w:t>
      </w:r>
    </w:p>
    <w:p>
      <w:pPr>
        <w:ind w:firstLine="420" w:firstLineChars="200"/>
        <w:jc w:val="center"/>
        <w:rPr>
          <w:rFonts w:ascii="宋体" w:hAnsi="宋体" w:cs="宋体"/>
          <w:szCs w:val="21"/>
        </w:rPr>
      </w:pPr>
      <w:r>
        <w:drawing>
          <wp:inline distT="0" distB="0" distL="114300" distR="114300">
            <wp:extent cx="1896110" cy="369570"/>
            <wp:effectExtent l="0" t="0" r="8890" b="11430"/>
            <wp:docPr id="10"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4"/>
                    <pic:cNvPicPr>
                      <a:picLocks noChangeAspect="1"/>
                    </pic:cNvPicPr>
                  </pic:nvPicPr>
                  <pic:blipFill>
                    <a:blip r:embed="rId68"/>
                    <a:stretch>
                      <a:fillRect/>
                    </a:stretch>
                  </pic:blipFill>
                  <pic:spPr>
                    <a:xfrm>
                      <a:off x="0" y="0"/>
                      <a:ext cx="1896110" cy="369570"/>
                    </a:xfrm>
                    <a:prstGeom prst="rect">
                      <a:avLst/>
                    </a:prstGeom>
                    <a:noFill/>
                    <a:ln>
                      <a:noFill/>
                    </a:ln>
                  </pic:spPr>
                </pic:pic>
              </a:graphicData>
            </a:graphic>
          </wp:inline>
        </w:drawing>
      </w:r>
    </w:p>
    <w:p>
      <w:pPr>
        <w:spacing w:line="440" w:lineRule="exact"/>
        <w:ind w:firstLine="420" w:firstLineChars="200"/>
        <w:rPr>
          <w:rFonts w:ascii="宋体" w:hAnsi="宋体" w:cs="宋体"/>
          <w:szCs w:val="21"/>
        </w:rPr>
      </w:pPr>
      <w:r>
        <w:rPr>
          <w:rFonts w:hint="eastAsia" w:ascii="宋体" w:hAnsi="宋体" w:cs="宋体"/>
          <w:szCs w:val="21"/>
        </w:rPr>
        <w:t>其中：</w:t>
      </w:r>
    </w:p>
    <w:p>
      <w:pPr>
        <w:spacing w:line="440" w:lineRule="exact"/>
        <w:ind w:firstLine="420" w:firstLineChars="200"/>
        <w:rPr>
          <w:rFonts w:ascii="宋体" w:hAnsi="宋体" w:cs="宋体"/>
          <w:szCs w:val="21"/>
        </w:rPr>
      </w:pPr>
      <w:r>
        <w:rPr>
          <w:rFonts w:hint="eastAsia" w:ascii="宋体" w:hAnsi="宋体" w:cs="宋体"/>
          <w:position w:val="-14"/>
          <w:szCs w:val="21"/>
        </w:rPr>
        <w:object>
          <v:shape id="_x0000_i1054" o:spt="75" type="#_x0000_t75" style="height:19.2pt;width:29.4pt;" o:ole="t" filled="f" o:preferrelative="t" stroked="f" coordsize="21600,21600">
            <v:path/>
            <v:fill on="f" focussize="0,0"/>
            <v:stroke on="f" joinstyle="miter"/>
            <v:imagedata r:id="rId70" o:title=""/>
            <o:lock v:ext="edit" aspectratio="t"/>
            <w10:wrap type="none"/>
            <w10:anchorlock/>
          </v:shape>
          <o:OLEObject Type="Embed" ProgID="Equation.DSMT4" ShapeID="_x0000_i1054" DrawAspect="Content" ObjectID="_1468075754" r:id="rId69">
            <o:LockedField>false</o:LockedField>
          </o:OLEObject>
        </w:object>
      </w:r>
      <w:r>
        <w:rPr>
          <w:rFonts w:hint="eastAsia" w:ascii="宋体" w:hAnsi="宋体" w:cs="宋体"/>
          <w:szCs w:val="21"/>
        </w:rPr>
        <w:t>是指数信用违约互换i的剩余期限。</w:t>
      </w:r>
    </w:p>
    <w:p>
      <w:pPr>
        <w:spacing w:line="440" w:lineRule="exact"/>
        <w:ind w:firstLine="420" w:firstLineChars="200"/>
        <w:rPr>
          <w:rFonts w:ascii="宋体" w:hAnsi="宋体" w:cs="宋体"/>
          <w:szCs w:val="21"/>
        </w:rPr>
      </w:pPr>
      <w:r>
        <w:rPr>
          <w:rFonts w:hint="eastAsia" w:ascii="宋体" w:hAnsi="宋体" w:cs="宋体"/>
          <w:position w:val="-14"/>
          <w:szCs w:val="21"/>
        </w:rPr>
        <w:object>
          <v:shape id="_x0000_i1055" o:spt="75" type="#_x0000_t75" style="height:19.8pt;width:25.8pt;" o:ole="t" filled="f" o:preferrelative="t" stroked="f" coordsize="21600,21600">
            <v:path/>
            <v:fill on="f" focussize="0,0"/>
            <v:stroke on="f" joinstyle="miter"/>
            <v:imagedata r:id="rId72" o:title=""/>
            <o:lock v:ext="edit" aspectratio="t"/>
            <w10:wrap type="none"/>
            <w10:anchorlock/>
          </v:shape>
          <o:OLEObject Type="Embed" ProgID="Equation.DSMT4" ShapeID="_x0000_i1055" DrawAspect="Content" ObjectID="_1468075755" r:id="rId71">
            <o:LockedField>false</o:LockedField>
          </o:OLEObject>
        </w:object>
      </w:r>
      <w:r>
        <w:rPr>
          <w:rFonts w:hint="eastAsia" w:ascii="宋体" w:hAnsi="宋体" w:cs="宋体"/>
          <w:szCs w:val="21"/>
        </w:rPr>
        <w:t>是指数信用违约互换i 的名义本金。</w:t>
      </w:r>
    </w:p>
    <w:p>
      <w:pPr>
        <w:ind w:firstLine="420" w:firstLineChars="200"/>
        <w:rPr>
          <w:rFonts w:ascii="宋体" w:hAnsi="宋体" w:cs="宋体"/>
          <w:szCs w:val="21"/>
        </w:rPr>
      </w:pPr>
      <w:r>
        <w:rPr>
          <w:rFonts w:hint="eastAsia" w:ascii="宋体" w:hAnsi="宋体" w:cs="宋体"/>
          <w:position w:val="-12"/>
          <w:szCs w:val="21"/>
        </w:rPr>
        <w:object>
          <v:shape id="_x0000_i1056" o:spt="75" type="#_x0000_t75" style="height:19.2pt;width:34.2pt;" o:ole="t" filled="f" o:preferrelative="t" stroked="f" coordsize="21600,21600">
            <v:path/>
            <v:fill on="f" focussize="0,0"/>
            <v:stroke on="f" joinstyle="miter"/>
            <v:imagedata r:id="rId74" o:title=""/>
            <o:lock v:ext="edit" aspectratio="t"/>
            <w10:wrap type="none"/>
            <w10:anchorlock/>
          </v:shape>
          <o:OLEObject Type="Embed" ProgID="Equation.DSMT4" ShapeID="_x0000_i1056" DrawAspect="Content" ObjectID="_1468075756" r:id="rId73">
            <o:LockedField>false</o:LockedField>
          </o:OLEObject>
        </w:object>
      </w:r>
      <w:r>
        <w:rPr>
          <w:rFonts w:hint="eastAsia" w:ascii="宋体" w:hAnsi="宋体" w:cs="宋体"/>
          <w:szCs w:val="21"/>
        </w:rPr>
        <w:t>是监管折现因子, 公式为</w:t>
      </w:r>
      <w:r>
        <w:drawing>
          <wp:inline distT="0" distB="0" distL="114300" distR="114300">
            <wp:extent cx="695960" cy="393065"/>
            <wp:effectExtent l="0" t="0" r="8890" b="6985"/>
            <wp:docPr id="11"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5"/>
                    <pic:cNvPicPr>
                      <a:picLocks noChangeAspect="1"/>
                    </pic:cNvPicPr>
                  </pic:nvPicPr>
                  <pic:blipFill>
                    <a:blip r:embed="rId75"/>
                    <a:stretch>
                      <a:fillRect/>
                    </a:stretch>
                  </pic:blipFill>
                  <pic:spPr>
                    <a:xfrm>
                      <a:off x="0" y="0"/>
                      <a:ext cx="695960" cy="393065"/>
                    </a:xfrm>
                    <a:prstGeom prst="rect">
                      <a:avLst/>
                    </a:prstGeom>
                    <a:noFill/>
                    <a:ln>
                      <a:noFill/>
                    </a:ln>
                  </pic:spPr>
                </pic:pic>
              </a:graphicData>
            </a:graphic>
          </wp:inline>
        </w:drawing>
      </w:r>
      <w:r>
        <w:rPr>
          <w:rFonts w:hint="eastAsia" w:ascii="宋体" w:hAnsi="宋体" w:cs="宋体"/>
          <w:szCs w:val="21"/>
        </w:rPr>
        <w:t xml:space="preserve"> 。</w:t>
      </w:r>
    </w:p>
    <w:p>
      <w:pPr>
        <w:spacing w:line="440" w:lineRule="exact"/>
        <w:ind w:firstLine="420" w:firstLineChars="200"/>
        <w:rPr>
          <w:rFonts w:ascii="宋体" w:hAnsi="宋体" w:cs="宋体"/>
          <w:szCs w:val="21"/>
        </w:rPr>
      </w:pPr>
      <w:r>
        <w:rPr>
          <w:rFonts w:hint="eastAsia" w:ascii="宋体" w:hAnsi="宋体" w:cs="宋体"/>
          <w:position w:val="-16"/>
          <w:szCs w:val="21"/>
        </w:rPr>
        <w:object>
          <v:shape id="_x0000_i1057" o:spt="75" type="#_x0000_t75" style="height:18pt;width:25.8pt;" o:ole="t" filled="f" o:preferrelative="t" stroked="f" coordsize="21600,21600">
            <v:path/>
            <v:fill on="f" focussize="0,0"/>
            <v:stroke on="f" joinstyle="miter"/>
            <v:imagedata r:id="rId77" o:title=""/>
            <o:lock v:ext="edit" aspectratio="t"/>
            <w10:wrap type="none"/>
            <w10:anchorlock/>
          </v:shape>
          <o:OLEObject Type="Embed" ProgID="Equation.DSMT4" ShapeID="_x0000_i1057" DrawAspect="Content" ObjectID="_1468075757" r:id="rId76">
            <o:LockedField>false</o:LockedField>
          </o:OLEObject>
        </w:object>
      </w:r>
      <w:r>
        <w:rPr>
          <w:rFonts w:hint="eastAsia" w:ascii="宋体" w:hAnsi="宋体" w:cs="宋体"/>
          <w:szCs w:val="21"/>
        </w:rPr>
        <w:t>是指数信用违约互换i的监管风险权重。对于属于同一行业且信用水平相同的指数，应在表1相应数值上乘以0.7；对于跨行业或跨信用水平等级的指数，应基于表1相应数值并根据指数加权计算后乘以0.7。</w:t>
      </w:r>
    </w:p>
    <w:p>
      <w:pPr>
        <w:spacing w:line="440" w:lineRule="exact"/>
        <w:ind w:firstLine="420" w:firstLineChars="200"/>
        <w:rPr>
          <w:rFonts w:ascii="宋体" w:hAnsi="宋体" w:cs="宋体"/>
          <w:szCs w:val="21"/>
        </w:rPr>
      </w:pPr>
      <w:r>
        <w:rPr>
          <w:rFonts w:hint="eastAsia" w:ascii="宋体" w:hAnsi="宋体" w:cs="宋体"/>
          <w:szCs w:val="21"/>
        </w:rPr>
        <w:t>（5）</w:t>
      </w:r>
      <w:r>
        <w:rPr>
          <w:rFonts w:hint="eastAsia" w:ascii="宋体" w:hAnsi="宋体" w:cs="宋体"/>
          <w:position w:val="-12"/>
          <w:szCs w:val="21"/>
        </w:rPr>
        <w:object>
          <v:shape id="_x0000_i1058" o:spt="75" type="#_x0000_t75" style="height:16.2pt;width:34.2pt;" o:ole="t" filled="f" o:preferrelative="t" stroked="f" coordsize="21600,21600">
            <v:path/>
            <v:fill on="f" focussize="0,0"/>
            <v:stroke on="f" joinstyle="miter"/>
            <v:imagedata r:id="rId79" o:title=""/>
            <o:lock v:ext="edit" aspectratio="t"/>
            <w10:wrap type="none"/>
            <w10:anchorlock/>
          </v:shape>
          <o:OLEObject Type="Embed" ProgID="Equation.DSMT4" ShapeID="_x0000_i1058" DrawAspect="Content" ObjectID="_1468075758" r:id="rId78">
            <o:LockedField>false</o:LockedField>
          </o:OLEObject>
        </w:object>
      </w:r>
      <w:r>
        <w:rPr>
          <w:rFonts w:hint="eastAsia" w:ascii="宋体" w:hAnsi="宋体" w:cs="宋体"/>
          <w:szCs w:val="21"/>
        </w:rPr>
        <w:t>为表示错位对冲的参数，用于限制非直接对冲对资本要求的降低程度，计算公式如下：</w:t>
      </w:r>
    </w:p>
    <w:p>
      <w:pPr>
        <w:ind w:firstLine="420" w:firstLineChars="200"/>
        <w:jc w:val="center"/>
        <w:rPr>
          <w:rFonts w:ascii="宋体" w:hAnsi="宋体" w:cs="宋体"/>
          <w:szCs w:val="21"/>
        </w:rPr>
      </w:pPr>
      <w:r>
        <w:drawing>
          <wp:inline distT="0" distB="0" distL="114300" distR="114300">
            <wp:extent cx="2979420" cy="423545"/>
            <wp:effectExtent l="0" t="0" r="11430" b="14605"/>
            <wp:docPr id="12"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6"/>
                    <pic:cNvPicPr>
                      <a:picLocks noChangeAspect="1"/>
                    </pic:cNvPicPr>
                  </pic:nvPicPr>
                  <pic:blipFill>
                    <a:blip r:embed="rId80"/>
                    <a:stretch>
                      <a:fillRect/>
                    </a:stretch>
                  </pic:blipFill>
                  <pic:spPr>
                    <a:xfrm>
                      <a:off x="0" y="0"/>
                      <a:ext cx="2979420" cy="423545"/>
                    </a:xfrm>
                    <a:prstGeom prst="rect">
                      <a:avLst/>
                    </a:prstGeom>
                    <a:noFill/>
                    <a:ln>
                      <a:noFill/>
                    </a:ln>
                  </pic:spPr>
                </pic:pic>
              </a:graphicData>
            </a:graphic>
          </wp:inline>
        </w:drawing>
      </w:r>
    </w:p>
    <w:p>
      <w:pPr>
        <w:spacing w:line="440" w:lineRule="exact"/>
        <w:ind w:firstLine="420" w:firstLineChars="200"/>
        <w:rPr>
          <w:rFonts w:ascii="宋体" w:hAnsi="宋体" w:cs="宋体"/>
          <w:szCs w:val="21"/>
        </w:rPr>
      </w:pPr>
      <w:r>
        <w:rPr>
          <w:rFonts w:hint="eastAsia" w:ascii="宋体" w:hAnsi="宋体" w:cs="宋体"/>
          <w:szCs w:val="21"/>
        </w:rPr>
        <w:t>其中：系数计算与简化版一致。</w:t>
      </w:r>
    </w:p>
    <w:p>
      <w:pPr>
        <w:spacing w:line="440" w:lineRule="exact"/>
        <w:ind w:firstLine="420" w:firstLineChars="200"/>
        <w:rPr>
          <w:rFonts w:ascii="宋体" w:hAnsi="宋体" w:cs="宋体"/>
          <w:szCs w:val="21"/>
        </w:rPr>
      </w:pPr>
      <w:bookmarkStart w:id="1" w:name="_Hlk135431754"/>
      <w:r>
        <w:rPr>
          <w:rFonts w:hint="eastAsia" w:ascii="宋体" w:hAnsi="宋体" w:cs="宋体"/>
          <w:szCs w:val="21"/>
        </w:rPr>
        <w:t>单个保证金协议下多个净额结算组合情形的</w:t>
      </w:r>
      <w:r>
        <w:rPr>
          <w:rFonts w:hint="eastAsia" w:ascii="宋体" w:hAnsi="宋体" w:cs="宋体"/>
          <w:position w:val="-12"/>
          <w:szCs w:val="21"/>
        </w:rPr>
        <w:object>
          <v:shape id="_x0000_i1059" o:spt="75" type="#_x0000_t75" style="height:16.2pt;width:34.8pt;" o:ole="t" filled="f" o:preferrelative="t" stroked="f" coordsize="21600,21600">
            <v:path/>
            <v:fill on="f" focussize="0,0"/>
            <v:stroke on="f" joinstyle="miter"/>
            <v:imagedata r:id="rId7" o:title=""/>
            <o:lock v:ext="edit" aspectratio="t"/>
            <w10:wrap type="none"/>
            <w10:anchorlock/>
          </v:shape>
          <o:OLEObject Type="Embed" ProgID="Equation.DSMT4" ShapeID="_x0000_i1059" DrawAspect="Content" ObjectID="_1468075759" r:id="rId81">
            <o:LockedField>false</o:LockedField>
          </o:OLEObject>
        </w:object>
      </w:r>
      <w:r>
        <w:rPr>
          <w:rFonts w:hint="eastAsia" w:ascii="宋体" w:hAnsi="宋体" w:cs="宋体"/>
          <w:szCs w:val="21"/>
        </w:rPr>
        <w:t>的计算规则：当单个保证金协议下有多个净额结算组合时，仅得到保证金协议的</w:t>
      </w:r>
      <w:r>
        <w:rPr>
          <w:rFonts w:ascii="宋体" w:hAnsi="宋体" w:cs="宋体"/>
          <w:szCs w:val="21"/>
        </w:rPr>
        <w:t>EAD</w:t>
      </w:r>
      <w:r>
        <w:rPr>
          <w:rFonts w:hint="eastAsia" w:ascii="宋体" w:hAnsi="宋体" w:cs="宋体"/>
          <w:szCs w:val="21"/>
        </w:rPr>
        <w:t>总数，并未再分配至每个净额结算交易对手</w:t>
      </w:r>
      <m:oMath>
        <m:r>
          <m:rPr/>
          <w:rPr>
            <w:rFonts w:ascii="Cambria Math"/>
          </w:rPr>
          <m:t>EA</m:t>
        </m:r>
        <m:sSub>
          <m:sSubPr>
            <m:ctrlPr>
              <w:rPr>
                <w:rFonts w:ascii="Cambria Math" w:hAnsi="Cambria Math"/>
                <w:i/>
              </w:rPr>
            </m:ctrlPr>
          </m:sSubPr>
          <m:e>
            <m:r>
              <m:rPr/>
              <w:rPr>
                <w:rFonts w:ascii="Cambria Math"/>
              </w:rPr>
              <m:t>D</m:t>
            </m:r>
            <m:ctrlPr>
              <w:rPr>
                <w:rFonts w:ascii="Cambria Math" w:hAnsi="Cambria Math"/>
                <w:i/>
              </w:rPr>
            </m:ctrlPr>
          </m:e>
          <m:sub>
            <m:r>
              <m:rPr/>
              <w:rPr>
                <w:rFonts w:ascii="Cambria Math"/>
              </w:rPr>
              <m:t>NS</m:t>
            </m:r>
            <m:ctrlPr>
              <w:rPr>
                <w:rFonts w:ascii="Cambria Math" w:hAnsi="Cambria Math"/>
                <w:i/>
              </w:rPr>
            </m:ctrlPr>
          </m:sub>
        </m:sSub>
      </m:oMath>
      <w:r>
        <w:rPr>
          <w:rFonts w:hint="eastAsia" w:ascii="宋体" w:hAnsi="宋体" w:cs="宋体"/>
          <w:szCs w:val="21"/>
        </w:rPr>
        <w:t>。此种情形下，</w:t>
      </w:r>
      <w:r>
        <w:rPr>
          <w:rFonts w:hint="eastAsia" w:ascii="宋体" w:hAnsi="宋体" w:cs="宋体"/>
          <w:position w:val="-12"/>
          <w:szCs w:val="21"/>
        </w:rPr>
        <w:object>
          <v:shape id="_x0000_i1060" o:spt="75" type="#_x0000_t75" style="height:19.2pt;width:40.8pt;" o:ole="t" filled="f" o:preferrelative="t" stroked="f" coordsize="21600,21600">
            <v:path/>
            <v:fill on="f" focussize="0,0"/>
            <v:stroke on="f" joinstyle="miter"/>
            <v:imagedata r:id="rId7" o:title=""/>
            <o:lock v:ext="edit" aspectratio="t"/>
            <w10:wrap type="none"/>
            <w10:anchorlock/>
          </v:shape>
          <o:OLEObject Type="Embed" ProgID="Equation.DSMT4" ShapeID="_x0000_i1060" DrawAspect="Content" ObjectID="_1468075760" r:id="rId82">
            <o:LockedField>false</o:LockedField>
          </o:OLEObject>
        </w:object>
      </w:r>
      <w:r>
        <w:rPr>
          <w:rFonts w:hint="eastAsia" w:ascii="宋体" w:hAnsi="宋体" w:cs="宋体"/>
          <w:szCs w:val="21"/>
        </w:rPr>
        <w:t>计算规则为：</w:t>
      </w:r>
    </w:p>
    <w:p>
      <w:pPr>
        <w:spacing w:line="440" w:lineRule="exact"/>
        <w:ind w:firstLine="420" w:firstLineChars="200"/>
        <w:rPr>
          <w:rFonts w:ascii="宋体" w:hAnsi="宋体" w:cs="宋体"/>
          <w:szCs w:val="21"/>
        </w:rPr>
      </w:pPr>
      <w:r>
        <w:drawing>
          <wp:anchor distT="0" distB="0" distL="114300" distR="114300" simplePos="0" relativeHeight="251662336" behindDoc="0" locked="0" layoutInCell="1" allowOverlap="1">
            <wp:simplePos x="0" y="0"/>
            <wp:positionH relativeFrom="column">
              <wp:posOffset>919480</wp:posOffset>
            </wp:positionH>
            <wp:positionV relativeFrom="paragraph">
              <wp:posOffset>86360</wp:posOffset>
            </wp:positionV>
            <wp:extent cx="3548380" cy="474980"/>
            <wp:effectExtent l="0" t="0" r="13970" b="1270"/>
            <wp:wrapTopAndBottom/>
            <wp:docPr id="13"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7"/>
                    <pic:cNvPicPr>
                      <a:picLocks noChangeAspect="1"/>
                    </pic:cNvPicPr>
                  </pic:nvPicPr>
                  <pic:blipFill>
                    <a:blip r:embed="rId83"/>
                    <a:stretch>
                      <a:fillRect/>
                    </a:stretch>
                  </pic:blipFill>
                  <pic:spPr>
                    <a:xfrm>
                      <a:off x="0" y="0"/>
                      <a:ext cx="3548380" cy="474980"/>
                    </a:xfrm>
                    <a:prstGeom prst="rect">
                      <a:avLst/>
                    </a:prstGeom>
                    <a:noFill/>
                    <a:ln>
                      <a:noFill/>
                    </a:ln>
                  </pic:spPr>
                </pic:pic>
              </a:graphicData>
            </a:graphic>
          </wp:anchor>
        </w:drawing>
      </w:r>
      <w:r>
        <w:rPr>
          <w:rFonts w:hint="eastAsia" w:ascii="宋体" w:hAnsi="宋体" w:cs="宋体"/>
          <w:position w:val="-14"/>
          <w:szCs w:val="21"/>
        </w:rPr>
        <w:object>
          <v:shape id="_x0000_i1061" o:spt="75" type="#_x0000_t75" style="height:16.2pt;width:26.4pt;" o:ole="t" filled="f" o:preferrelative="t" stroked="f" coordsize="21600,21600">
            <v:path/>
            <v:fill on="f" focussize="0,0"/>
            <v:stroke on="f" joinstyle="miter"/>
            <v:imagedata r:id="rId33" o:title=""/>
            <o:lock v:ext="edit" aspectratio="t"/>
            <w10:wrap type="none"/>
            <w10:anchorlock/>
          </v:shape>
          <o:OLEObject Type="Embed" ProgID="Equation.DSMT4" ShapeID="_x0000_i1061" DrawAspect="Content" ObjectID="_1468075761" r:id="rId84">
            <o:LockedField>false</o:LockedField>
          </o:OLEObject>
        </w:object>
      </w:r>
      <w:r>
        <w:rPr>
          <w:rFonts w:hint="eastAsia" w:ascii="宋体" w:hAnsi="宋体" w:cs="宋体"/>
          <w:szCs w:val="21"/>
        </w:rPr>
        <w:t>是保证金协议M</w:t>
      </w:r>
      <w:r>
        <w:rPr>
          <w:rFonts w:ascii="宋体" w:hAnsi="宋体" w:cs="宋体"/>
          <w:szCs w:val="21"/>
        </w:rPr>
        <w:t>A</w:t>
      </w:r>
      <w:r>
        <w:rPr>
          <w:rFonts w:hint="eastAsia" w:ascii="宋体" w:hAnsi="宋体" w:cs="宋体"/>
          <w:szCs w:val="21"/>
        </w:rPr>
        <w:t>的有效期限，详见《办法》附件5第六部分（六），且</w:t>
      </w:r>
      <w:r>
        <w:rPr>
          <w:rFonts w:hint="eastAsia" w:ascii="宋体" w:hAnsi="宋体" w:cs="宋体"/>
          <w:position w:val="-14"/>
          <w:szCs w:val="21"/>
        </w:rPr>
        <w:object>
          <v:shape id="_x0000_i1062" o:spt="75" type="#_x0000_t75" style="height:16.2pt;width:26.4pt;" o:ole="t" filled="f" o:preferrelative="t" stroked="f" coordsize="21600,21600">
            <v:path/>
            <v:fill on="f" focussize="0,0"/>
            <v:stroke on="f" joinstyle="miter"/>
            <v:imagedata r:id="rId35" o:title=""/>
            <o:lock v:ext="edit" aspectratio="t"/>
            <w10:wrap type="none"/>
            <w10:anchorlock/>
          </v:shape>
          <o:OLEObject Type="Embed" ProgID="Equation.DSMT4" ShapeID="_x0000_i1062" DrawAspect="Content" ObjectID="_1468075762" r:id="rId85">
            <o:LockedField>false</o:LockedField>
          </o:OLEObject>
        </w:object>
      </w:r>
      <w:r>
        <w:rPr>
          <w:rFonts w:hint="eastAsia" w:ascii="宋体" w:hAnsi="宋体" w:cs="宋体"/>
          <w:szCs w:val="21"/>
        </w:rPr>
        <w:t>不受上限（5年）和下限（1年）的限制。</w:t>
      </w:r>
    </w:p>
    <w:p>
      <w:pPr>
        <w:pStyle w:val="47"/>
        <w:spacing w:line="480" w:lineRule="exact"/>
        <w:ind w:firstLine="420" w:firstLineChars="200"/>
        <w:rPr>
          <w:rFonts w:ascii="宋体" w:hAnsi="宋体" w:cs="宋体"/>
          <w:color w:val="auto"/>
          <w:kern w:val="2"/>
          <w:sz w:val="21"/>
          <w:szCs w:val="21"/>
        </w:rPr>
      </w:pPr>
      <w:r>
        <w:rPr>
          <w:rFonts w:hint="eastAsia" w:ascii="宋体" w:hAnsi="宋体" w:cs="宋体"/>
          <w:position w:val="-14"/>
          <w:sz w:val="21"/>
          <w:szCs w:val="21"/>
        </w:rPr>
        <w:object>
          <v:shape id="_x0000_i1063" o:spt="75" type="#_x0000_t75" style="height:15.6pt;width:37.8pt;" o:ole="t" filled="f" o:preferrelative="t" stroked="f" coordsize="21600,21600">
            <v:path/>
            <v:fill on="f" focussize="0,0"/>
            <v:stroke on="f" joinstyle="miter"/>
            <v:imagedata r:id="rId37" o:title=""/>
            <o:lock v:ext="edit" aspectratio="t"/>
            <w10:wrap type="none"/>
            <w10:anchorlock/>
          </v:shape>
          <o:OLEObject Type="Embed" ProgID="Equation.DSMT4" ShapeID="_x0000_i1063" DrawAspect="Content" ObjectID="_1468075763" r:id="rId86">
            <o:LockedField>false</o:LockedField>
          </o:OLEObject>
        </w:object>
      </w:r>
      <w:r>
        <w:rPr>
          <w:rFonts w:hint="eastAsia" w:ascii="宋体" w:hAnsi="宋体" w:cs="宋体"/>
          <w:color w:val="auto"/>
          <w:kern w:val="2"/>
          <w:sz w:val="21"/>
          <w:szCs w:val="21"/>
        </w:rPr>
        <w:t>是保证金协议M</w:t>
      </w:r>
      <w:r>
        <w:rPr>
          <w:rFonts w:ascii="宋体" w:hAnsi="宋体" w:cs="宋体"/>
          <w:color w:val="auto"/>
          <w:kern w:val="2"/>
          <w:sz w:val="21"/>
          <w:szCs w:val="21"/>
        </w:rPr>
        <w:t>A</w:t>
      </w:r>
      <w:r>
        <w:rPr>
          <w:rFonts w:hint="eastAsia" w:ascii="宋体" w:hAnsi="宋体" w:cs="宋体"/>
          <w:color w:val="auto"/>
          <w:kern w:val="2"/>
          <w:sz w:val="21"/>
          <w:szCs w:val="21"/>
        </w:rPr>
        <w:t>的违约风险暴露，计算方法与交易对手违约风险暴露计量规则一致，详见《办法》附件9。</w:t>
      </w:r>
    </w:p>
    <w:p>
      <w:pPr>
        <w:pStyle w:val="47"/>
        <w:ind w:firstLine="420" w:firstLineChars="200"/>
        <w:jc w:val="both"/>
        <w:rPr>
          <w:rFonts w:ascii="宋体" w:hAnsi="宋体" w:cs="宋体"/>
          <w:sz w:val="21"/>
          <w:szCs w:val="21"/>
        </w:rPr>
      </w:pPr>
      <w:r>
        <w:rPr>
          <w:rFonts w:hint="eastAsia" w:ascii="宋体" w:hAnsi="宋体" w:cs="宋体"/>
          <w:position w:val="-14"/>
          <w:sz w:val="21"/>
          <w:szCs w:val="21"/>
        </w:rPr>
        <w:object>
          <v:shape id="_x0000_i1064" o:spt="75" type="#_x0000_t75" style="height:15.6pt;width:29.4pt;" o:ole="t" filled="f" o:preferrelative="t" stroked="f" coordsize="21600,21600">
            <v:path/>
            <v:fill on="f" focussize="0,0"/>
            <v:stroke on="f" joinstyle="miter"/>
            <v:imagedata r:id="rId39" o:title=""/>
            <o:lock v:ext="edit" aspectratio="t"/>
            <w10:wrap type="none"/>
            <w10:anchorlock/>
          </v:shape>
          <o:OLEObject Type="Embed" ProgID="Equation.DSMT4" ShapeID="_x0000_i1064" DrawAspect="Content" ObjectID="_1468075764" r:id="rId87">
            <o:LockedField>false</o:LockedField>
          </o:OLEObject>
        </w:object>
      </w:r>
      <w:r>
        <w:rPr>
          <w:rFonts w:hint="eastAsia" w:ascii="宋体" w:hAnsi="宋体" w:cs="宋体"/>
          <w:sz w:val="21"/>
          <w:szCs w:val="21"/>
        </w:rPr>
        <w:t>是监管折现因子, 公式为</w:t>
      </w:r>
      <w:r>
        <w:drawing>
          <wp:inline distT="0" distB="0" distL="114300" distR="114300">
            <wp:extent cx="668020" cy="379730"/>
            <wp:effectExtent l="0" t="0" r="17780" b="1270"/>
            <wp:docPr id="14"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0"/>
                    <pic:cNvPicPr>
                      <a:picLocks noChangeAspect="1"/>
                    </pic:cNvPicPr>
                  </pic:nvPicPr>
                  <pic:blipFill>
                    <a:blip r:embed="rId40"/>
                    <a:stretch>
                      <a:fillRect/>
                    </a:stretch>
                  </pic:blipFill>
                  <pic:spPr>
                    <a:xfrm>
                      <a:off x="0" y="0"/>
                      <a:ext cx="668020" cy="379730"/>
                    </a:xfrm>
                    <a:prstGeom prst="rect">
                      <a:avLst/>
                    </a:prstGeom>
                    <a:noFill/>
                    <a:ln>
                      <a:noFill/>
                    </a:ln>
                  </pic:spPr>
                </pic:pic>
              </a:graphicData>
            </a:graphic>
          </wp:inline>
        </w:drawing>
      </w:r>
    </w:p>
    <w:bookmarkEnd w:id="1"/>
    <w:p>
      <w:pPr>
        <w:spacing w:line="440" w:lineRule="exact"/>
        <w:ind w:firstLine="420" w:firstLineChars="200"/>
        <w:rPr>
          <w:szCs w:val="21"/>
        </w:rPr>
      </w:pPr>
      <w:r>
        <w:rPr>
          <w:rFonts w:hint="eastAsia"/>
          <w:szCs w:val="21"/>
        </w:rPr>
        <w:t>[合计]：填报机构应根据是否满足</w:t>
      </w:r>
      <w:r>
        <w:rPr>
          <w:rFonts w:hint="eastAsia"/>
          <w:bCs/>
          <w:szCs w:val="21"/>
        </w:rPr>
        <w:t>信用估值调整风险合格对冲，来</w:t>
      </w:r>
      <w:r>
        <w:rPr>
          <w:rFonts w:hint="eastAsia"/>
          <w:szCs w:val="21"/>
        </w:rPr>
        <w:t>选择填报[1.简化版]或[2.完整版]。存在信用估值调整风险合格对冲的</w:t>
      </w:r>
      <w:r>
        <w:rPr>
          <w:rFonts w:hint="eastAsia"/>
          <w:bCs/>
          <w:szCs w:val="21"/>
        </w:rPr>
        <w:t>填报机构</w:t>
      </w:r>
      <w:r>
        <w:rPr>
          <w:rFonts w:hint="eastAsia"/>
          <w:szCs w:val="21"/>
        </w:rPr>
        <w:t>可适用完整版，其余</w:t>
      </w:r>
      <w:r>
        <w:rPr>
          <w:rFonts w:hint="eastAsia"/>
          <w:bCs/>
          <w:szCs w:val="21"/>
        </w:rPr>
        <w:t>填报机构</w:t>
      </w:r>
      <w:r>
        <w:rPr>
          <w:rFonts w:hint="eastAsia"/>
          <w:szCs w:val="21"/>
        </w:rPr>
        <w:t>适用简化版。</w:t>
      </w:r>
    </w:p>
    <w:p>
      <w:pPr>
        <w:spacing w:line="440" w:lineRule="exact"/>
        <w:ind w:firstLine="420" w:firstLineChars="200"/>
        <w:rPr>
          <w:szCs w:val="21"/>
        </w:rPr>
      </w:pPr>
      <w:r>
        <w:rPr>
          <w:szCs w:val="21"/>
        </w:rPr>
        <w:t>[A风险</w:t>
      </w:r>
      <w:r>
        <w:rPr>
          <w:rFonts w:hint="eastAsia"/>
          <w:szCs w:val="21"/>
        </w:rPr>
        <w:t>加权资产</w:t>
      </w:r>
      <w:r>
        <w:rPr>
          <w:szCs w:val="21"/>
        </w:rPr>
        <w:t>]：是指填报机构</w:t>
      </w:r>
      <w:r>
        <w:rPr>
          <w:rFonts w:hint="eastAsia"/>
          <w:szCs w:val="21"/>
        </w:rPr>
        <w:t>信用估值调整</w:t>
      </w:r>
      <w:r>
        <w:rPr>
          <w:szCs w:val="21"/>
        </w:rPr>
        <w:t>风险加权资产。</w:t>
      </w:r>
    </w:p>
    <w:p>
      <w:pPr>
        <w:spacing w:line="440" w:lineRule="exact"/>
        <w:ind w:firstLine="421" w:firstLineChars="200"/>
        <w:rPr>
          <w:b/>
          <w:szCs w:val="21"/>
        </w:rPr>
      </w:pPr>
      <w:r>
        <w:rPr>
          <w:rFonts w:hint="eastAsia"/>
          <w:b/>
          <w:szCs w:val="21"/>
        </w:rPr>
        <w:t>第II部分</w:t>
      </w:r>
      <w:r>
        <w:rPr>
          <w:b/>
          <w:szCs w:val="21"/>
        </w:rPr>
        <w:t>：</w:t>
      </w:r>
      <w:r>
        <w:rPr>
          <w:rFonts w:hint="eastAsia"/>
          <w:b/>
          <w:szCs w:val="21"/>
        </w:rPr>
        <w:t>中央交易对手</w:t>
      </w:r>
      <w:r>
        <w:rPr>
          <w:b/>
          <w:szCs w:val="21"/>
        </w:rPr>
        <w:t>风险加权资产计算表</w:t>
      </w:r>
    </w:p>
    <w:p>
      <w:pPr>
        <w:spacing w:line="440" w:lineRule="exact"/>
        <w:ind w:firstLine="420" w:firstLineChars="200"/>
        <w:rPr>
          <w:rFonts w:ascii="宋体" w:hAnsi="宋体" w:cs="宋体"/>
          <w:szCs w:val="21"/>
        </w:rPr>
      </w:pPr>
      <w:r>
        <w:rPr>
          <w:rFonts w:hint="eastAsia"/>
          <w:bCs/>
          <w:szCs w:val="21"/>
        </w:rPr>
        <w:t>填报机构</w:t>
      </w:r>
      <w:r>
        <w:rPr>
          <w:rFonts w:hint="eastAsia" w:ascii="宋体" w:hAnsi="宋体" w:cs="宋体"/>
          <w:szCs w:val="21"/>
        </w:rPr>
        <w:t>应计算银行账簿和交易账簿中中央交易对手风险暴露的风险加权资产，涉及的业务包括场外衍生工具交易、在交易所交易的衍生工具交易、证券融资交易以及长期限结算交易。中央交易对手信用风险加权资产为交易风险暴露与违约基金风险暴露的风险加权资产之和。</w:t>
      </w:r>
    </w:p>
    <w:p>
      <w:pPr>
        <w:spacing w:line="440" w:lineRule="exact"/>
        <w:ind w:firstLine="420" w:firstLineChars="200"/>
        <w:rPr>
          <w:rFonts w:ascii="宋体" w:hAnsi="宋体" w:cs="宋体"/>
          <w:szCs w:val="21"/>
        </w:rPr>
      </w:pPr>
      <w:r>
        <w:rPr>
          <w:rFonts w:hint="eastAsia" w:ascii="宋体" w:hAnsi="宋体" w:cs="宋体"/>
          <w:szCs w:val="21"/>
        </w:rPr>
        <w:t>中央交易对手分为合格中央交易对手与不合格中央交易对手。</w:t>
      </w:r>
      <w:r>
        <w:rPr>
          <w:rFonts w:hint="eastAsia"/>
          <w:bCs/>
          <w:szCs w:val="21"/>
        </w:rPr>
        <w:t>填报机构</w:t>
      </w:r>
      <w:r>
        <w:rPr>
          <w:rFonts w:hint="eastAsia" w:ascii="宋体" w:hAnsi="宋体" w:cs="宋体"/>
          <w:szCs w:val="21"/>
        </w:rPr>
        <w:t>对合格中央交易对手和不合格中央交易对手的交易对手风险暴露计量规则分别见《办法》附件10第二部分和第四部分。如果某合格中央交易对手不再满足合格标准，除国家金融监督管理总局另行规定，3个月内，</w:t>
      </w:r>
      <w:r>
        <w:rPr>
          <w:rFonts w:hint="eastAsia"/>
          <w:bCs/>
          <w:szCs w:val="21"/>
        </w:rPr>
        <w:t>填报机构</w:t>
      </w:r>
      <w:r>
        <w:rPr>
          <w:rFonts w:hint="eastAsia" w:ascii="宋体" w:hAnsi="宋体" w:cs="宋体"/>
          <w:szCs w:val="21"/>
        </w:rPr>
        <w:t>可按照合格中央交易对手的规则计量风险加权资产；3个月后，</w:t>
      </w:r>
      <w:r>
        <w:rPr>
          <w:rFonts w:hint="eastAsia"/>
          <w:bCs/>
          <w:szCs w:val="21"/>
        </w:rPr>
        <w:t>填报机构</w:t>
      </w:r>
      <w:r>
        <w:rPr>
          <w:rFonts w:hint="eastAsia" w:ascii="宋体" w:hAnsi="宋体" w:cs="宋体"/>
          <w:szCs w:val="21"/>
        </w:rPr>
        <w:t>应按照不合格中央交易对手的规则计量风险加权资产。</w:t>
      </w:r>
    </w:p>
    <w:p>
      <w:pPr>
        <w:spacing w:line="440" w:lineRule="exact"/>
        <w:ind w:firstLine="420" w:firstLineChars="200"/>
        <w:rPr>
          <w:rFonts w:ascii="宋体" w:hAnsi="宋体" w:cs="宋体"/>
          <w:szCs w:val="21"/>
        </w:rPr>
      </w:pPr>
      <w:r>
        <w:rPr>
          <w:rFonts w:hint="eastAsia"/>
          <w:bCs/>
          <w:szCs w:val="21"/>
        </w:rPr>
        <w:t>填报机构</w:t>
      </w:r>
      <w:r>
        <w:rPr>
          <w:rFonts w:hint="eastAsia" w:ascii="宋体" w:hAnsi="宋体" w:cs="宋体"/>
          <w:szCs w:val="21"/>
        </w:rPr>
        <w:t>对中央交易对手风险暴露不纳入内部评级法覆盖范围。</w:t>
      </w:r>
    </w:p>
    <w:p>
      <w:pPr>
        <w:spacing w:line="440" w:lineRule="exact"/>
        <w:ind w:firstLine="420" w:firstLineChars="200"/>
        <w:rPr>
          <w:rFonts w:ascii="宋体" w:hAnsi="宋体" w:cs="宋体"/>
          <w:szCs w:val="21"/>
        </w:rPr>
      </w:pPr>
      <w:r>
        <w:rPr>
          <w:rFonts w:hint="eastAsia"/>
          <w:bCs/>
          <w:szCs w:val="21"/>
        </w:rPr>
        <w:t>填报机构</w:t>
      </w:r>
      <w:r>
        <w:rPr>
          <w:rFonts w:hint="eastAsia" w:ascii="宋体" w:hAnsi="宋体" w:cs="宋体"/>
          <w:szCs w:val="21"/>
        </w:rPr>
        <w:t>对合格中央交易对手风险暴露（包括交易风险暴露和违约基金风险暴露）的资本计提要求高于同等条件下对不合格中央交易对手所有风险暴露的资本计提要求时，应取后者作为资本计提要求。</w:t>
      </w:r>
    </w:p>
    <w:p>
      <w:pPr>
        <w:spacing w:line="440" w:lineRule="exact"/>
        <w:ind w:firstLine="420" w:firstLineChars="200"/>
        <w:rPr>
          <w:rFonts w:ascii="宋体" w:hAnsi="宋体" w:cs="宋体"/>
          <w:szCs w:val="21"/>
        </w:rPr>
      </w:pPr>
      <w:r>
        <w:rPr>
          <w:rFonts w:hint="eastAsia" w:ascii="宋体" w:hAnsi="宋体" w:cs="宋体"/>
          <w:szCs w:val="21"/>
        </w:rPr>
        <w:t>1.交易风险暴露</w:t>
      </w:r>
    </w:p>
    <w:p>
      <w:pPr>
        <w:spacing w:line="440" w:lineRule="exact"/>
        <w:ind w:firstLine="420" w:firstLineChars="200"/>
        <w:rPr>
          <w:rFonts w:ascii="宋体" w:hAnsi="宋体" w:cs="宋体"/>
          <w:szCs w:val="21"/>
        </w:rPr>
      </w:pPr>
      <w:r>
        <w:rPr>
          <w:rFonts w:hint="eastAsia" w:ascii="宋体" w:hAnsi="宋体" w:cs="宋体"/>
          <w:szCs w:val="21"/>
        </w:rPr>
        <w:t>（1）作为中央交易对手的清算会员：对中央交易对手风险暴露</w:t>
      </w:r>
    </w:p>
    <w:p>
      <w:pPr>
        <w:spacing w:line="440" w:lineRule="exact"/>
        <w:ind w:firstLine="420" w:firstLineChars="200"/>
        <w:rPr>
          <w:rFonts w:ascii="宋体" w:hAnsi="宋体" w:cs="宋体"/>
          <w:szCs w:val="21"/>
        </w:rPr>
      </w:pPr>
      <w:r>
        <w:rPr>
          <w:rFonts w:hint="eastAsia" w:ascii="宋体" w:hAnsi="宋体" w:cs="宋体"/>
          <w:szCs w:val="21"/>
        </w:rPr>
        <w:t>商业银行作为中央交易对手的清算会员，如果为自身提供清算，与中央交易对手交易风险暴露的风险权重为2%；如果商业银行为客户提供清算服务，且中央交易对手违约导致客户损失时需弥补客户损失，商业银行对该中央交易对手交易风险暴露的风险权重也为2%。商业银行应按照《办法》附件9计算衍生工具、长期限结算交易的违约风险暴露和证券融资交易风险缓释后的交易风险暴露。商业银行采用交易对手信用风险标准法（SA-CCR）时，应使用至少10天的保证金风险期间。</w:t>
      </w:r>
    </w:p>
    <w:p>
      <w:pPr>
        <w:spacing w:line="440" w:lineRule="exact"/>
        <w:ind w:firstLine="420" w:firstLineChars="200"/>
        <w:rPr>
          <w:rFonts w:ascii="宋体" w:hAnsi="宋体" w:cs="宋体"/>
          <w:szCs w:val="21"/>
        </w:rPr>
      </w:pPr>
      <w:r>
        <w:rPr>
          <w:rFonts w:hint="eastAsia" w:ascii="宋体" w:hAnsi="宋体" w:cs="宋体"/>
          <w:szCs w:val="21"/>
        </w:rPr>
        <w:t>（2）作为中央交易对手的清算会员：对客户风险暴露</w:t>
      </w:r>
    </w:p>
    <w:p>
      <w:pPr>
        <w:spacing w:line="440" w:lineRule="exact"/>
        <w:ind w:firstLine="420" w:firstLineChars="200"/>
        <w:rPr>
          <w:rFonts w:ascii="宋体" w:hAnsi="宋体" w:cs="宋体"/>
          <w:szCs w:val="21"/>
        </w:rPr>
      </w:pPr>
      <w:r>
        <w:rPr>
          <w:rFonts w:hint="eastAsia" w:ascii="宋体" w:hAnsi="宋体" w:cs="宋体"/>
          <w:szCs w:val="21"/>
        </w:rPr>
        <w:t>商业银行作为中央交易对手的清算会员，不论商业银行为该交易提供保证，还是仅作为客户与中央交易对手之间的中介，均应按照双边交易对客户风险暴露（包括潜在的信用估值调整风险暴露）计提资本。鉴于商业银行提供清算服务的交易能够在较短时间内平仓，商业银行采用现期风险暴露法时，可对客户风险暴露乘以不低于0.71的系数（若保证金风险期间为5天，则系数为0.71；若保证金风险期间为6、7、8、9或10天，则系数分别为0.77、0.84、0.89、0.95或1）；商业银行采用交易对手信用风险标准法（SA-CCR）时，应使用至少5天的保证金风险期间。</w:t>
      </w:r>
    </w:p>
    <w:p>
      <w:pPr>
        <w:spacing w:line="440" w:lineRule="exact"/>
        <w:ind w:firstLine="420" w:firstLineChars="200"/>
        <w:rPr>
          <w:rFonts w:ascii="宋体" w:hAnsi="宋体" w:cs="宋体"/>
          <w:szCs w:val="21"/>
        </w:rPr>
      </w:pPr>
      <w:r>
        <w:rPr>
          <w:rFonts w:hint="eastAsia" w:ascii="宋体" w:hAnsi="宋体" w:cs="宋体"/>
          <w:szCs w:val="21"/>
        </w:rPr>
        <w:t>（3）作为客户：对清算会员和中央交易对手风险暴露</w:t>
      </w:r>
    </w:p>
    <w:p>
      <w:pPr>
        <w:spacing w:line="440" w:lineRule="exact"/>
        <w:ind w:firstLine="420" w:firstLineChars="200"/>
        <w:rPr>
          <w:rFonts w:ascii="宋体" w:hAnsi="宋体" w:cs="宋体"/>
          <w:szCs w:val="21"/>
        </w:rPr>
      </w:pPr>
      <w:r>
        <w:rPr>
          <w:rFonts w:hint="eastAsia" w:ascii="宋体" w:hAnsi="宋体" w:cs="宋体"/>
          <w:szCs w:val="21"/>
        </w:rPr>
        <w:fldChar w:fldCharType="begin"/>
      </w:r>
      <w:r>
        <w:rPr>
          <w:rFonts w:hint="eastAsia" w:ascii="宋体" w:hAnsi="宋体" w:cs="宋体"/>
          <w:szCs w:val="21"/>
        </w:rPr>
        <w:instrText xml:space="preserve"> = 1 \* GB3 \* MERGEFORMAT </w:instrText>
      </w:r>
      <w:r>
        <w:rPr>
          <w:rFonts w:hint="eastAsia" w:ascii="宋体" w:hAnsi="宋体" w:cs="宋体"/>
          <w:szCs w:val="21"/>
        </w:rPr>
        <w:fldChar w:fldCharType="separate"/>
      </w:r>
      <w:r>
        <w:t>①</w:t>
      </w:r>
      <w:r>
        <w:rPr>
          <w:rFonts w:hint="eastAsia" w:ascii="宋体" w:hAnsi="宋体" w:cs="宋体"/>
          <w:szCs w:val="21"/>
        </w:rPr>
        <w:fldChar w:fldCharType="end"/>
      </w:r>
      <w:r>
        <w:rPr>
          <w:rFonts w:hint="eastAsia" w:ascii="宋体" w:hAnsi="宋体" w:cs="宋体"/>
          <w:szCs w:val="21"/>
        </w:rPr>
        <w:t>商业银行作为中央交易对手清算会员的客户，在该交易中清算会员充当商业银行与中央交易对手之间的中介，并与中央交易对手开展抵消交易，商业银行对该清算会员风险暴露的风险权重为2%；如果商业银行与中央交易对手直接交易，该清算会员提供保证，商业银行对中央交易对手风险暴露的风险权重为2%；多层级客户结构中，较低层级客户对较高层级客户风险暴露的风险权重也为2%。上述三种情形下采用2%的风险权重应满足以下两个条件：</w:t>
      </w:r>
    </w:p>
    <w:p>
      <w:pPr>
        <w:spacing w:line="440" w:lineRule="exact"/>
        <w:ind w:firstLine="420" w:firstLineChars="200"/>
        <w:rPr>
          <w:rFonts w:ascii="宋体" w:hAnsi="宋体" w:cs="宋体"/>
          <w:szCs w:val="21"/>
        </w:rPr>
      </w:pPr>
      <w:r>
        <w:rPr>
          <w:rFonts w:hint="eastAsia" w:ascii="宋体" w:hAnsi="宋体" w:cs="宋体"/>
          <w:szCs w:val="21"/>
        </w:rPr>
        <w:t>a.中央交易对手将抵消交易识别为客户交易，并持有相应的抵押品，且清算会员具备相应制度安排，确保在清算会员违约或破产、清算会员的其他客户违约或破产、清算会员及其他客户同时违约或破产等三种情形下，清算会员都能防止该客户遭受损失。商业银行应按照监管要求提供独立的法律意见书，证明在上述三种情形下，都将受到相关法律保护而不会遭受损失。</w:t>
      </w:r>
    </w:p>
    <w:p>
      <w:pPr>
        <w:spacing w:line="440" w:lineRule="exact"/>
        <w:ind w:firstLine="420" w:firstLineChars="200"/>
        <w:rPr>
          <w:rFonts w:ascii="宋体" w:hAnsi="宋体" w:cs="宋体"/>
          <w:szCs w:val="21"/>
        </w:rPr>
      </w:pPr>
      <w:r>
        <w:rPr>
          <w:rFonts w:hint="eastAsia" w:ascii="宋体" w:hAnsi="宋体" w:cs="宋体"/>
          <w:szCs w:val="21"/>
        </w:rPr>
        <w:t>b.相关的法律、制度、规则、合同或监管安排能够保证，若清算会员违约或破产，与该清算会员的抵消交易将非常有可能通过中央交易对手或被中央交易对手间接执行。</w:t>
      </w:r>
    </w:p>
    <w:p>
      <w:pPr>
        <w:spacing w:line="440" w:lineRule="exact"/>
        <w:ind w:firstLine="420" w:firstLineChars="200"/>
        <w:rPr>
          <w:rFonts w:ascii="宋体" w:hAnsi="宋体" w:cs="宋体"/>
          <w:szCs w:val="21"/>
        </w:rPr>
      </w:pPr>
      <w:r>
        <w:rPr>
          <w:rFonts w:hint="eastAsia" w:ascii="宋体" w:hAnsi="宋体" w:cs="宋体"/>
          <w:szCs w:val="21"/>
        </w:rPr>
        <w:fldChar w:fldCharType="begin"/>
      </w:r>
      <w:r>
        <w:rPr>
          <w:rFonts w:hint="eastAsia" w:ascii="宋体" w:hAnsi="宋体" w:cs="宋体"/>
          <w:szCs w:val="21"/>
        </w:rPr>
        <w:instrText xml:space="preserve"> = 2 \* GB3 \* MERGEFORMAT </w:instrText>
      </w:r>
      <w:r>
        <w:rPr>
          <w:rFonts w:hint="eastAsia" w:ascii="宋体" w:hAnsi="宋体" w:cs="宋体"/>
          <w:szCs w:val="21"/>
        </w:rPr>
        <w:fldChar w:fldCharType="separate"/>
      </w:r>
      <w:r>
        <w:t>②</w:t>
      </w:r>
      <w:r>
        <w:rPr>
          <w:rFonts w:hint="eastAsia" w:ascii="宋体" w:hAnsi="宋体" w:cs="宋体"/>
          <w:szCs w:val="21"/>
        </w:rPr>
        <w:fldChar w:fldCharType="end"/>
      </w:r>
      <w:r>
        <w:rPr>
          <w:rFonts w:hint="eastAsia" w:ascii="宋体" w:hAnsi="宋体" w:cs="宋体"/>
          <w:szCs w:val="21"/>
        </w:rPr>
        <w:t>如果在清算会员和清算会员的其他客户同时违约或破产时，不能保证作为客户的商业银行免受损失，但上述两个条件中其它条件都满足的情形下，客户对该清算会员风险暴露或客户对较高层级客户风险暴露的风险权重为4%。</w:t>
      </w:r>
    </w:p>
    <w:p>
      <w:pPr>
        <w:spacing w:line="440" w:lineRule="exact"/>
        <w:ind w:firstLine="420" w:firstLineChars="200"/>
        <w:rPr>
          <w:rFonts w:ascii="宋体" w:hAnsi="宋体" w:cs="宋体"/>
          <w:szCs w:val="21"/>
        </w:rPr>
      </w:pPr>
      <w:r>
        <w:rPr>
          <w:rFonts w:hint="eastAsia" w:ascii="宋体" w:hAnsi="宋体" w:cs="宋体"/>
          <w:szCs w:val="21"/>
        </w:rPr>
        <w:fldChar w:fldCharType="begin"/>
      </w:r>
      <w:r>
        <w:rPr>
          <w:rFonts w:hint="eastAsia" w:ascii="宋体" w:hAnsi="宋体" w:cs="宋体"/>
          <w:szCs w:val="21"/>
        </w:rPr>
        <w:instrText xml:space="preserve"> = 3 \* GB3 \* MERGEFORMAT </w:instrText>
      </w:r>
      <w:r>
        <w:rPr>
          <w:rFonts w:hint="eastAsia" w:ascii="宋体" w:hAnsi="宋体" w:cs="宋体"/>
          <w:szCs w:val="21"/>
        </w:rPr>
        <w:fldChar w:fldCharType="separate"/>
      </w:r>
      <w:r>
        <w:t>③</w:t>
      </w:r>
      <w:r>
        <w:rPr>
          <w:rFonts w:hint="eastAsia" w:ascii="宋体" w:hAnsi="宋体" w:cs="宋体"/>
          <w:szCs w:val="21"/>
        </w:rPr>
        <w:fldChar w:fldCharType="end"/>
      </w:r>
      <w:r>
        <w:rPr>
          <w:rFonts w:hint="eastAsia" w:ascii="宋体" w:hAnsi="宋体" w:cs="宋体"/>
          <w:szCs w:val="21"/>
        </w:rPr>
        <w:t>若不满足上述情形，商业银行作为清算会员的客户，应按照双边交易计算对该清算会员风险暴露（包括潜在的信用估值调整风险暴露）风险加权资产。</w:t>
      </w:r>
    </w:p>
    <w:p>
      <w:pPr>
        <w:spacing w:line="440" w:lineRule="exact"/>
        <w:ind w:firstLine="420" w:firstLineChars="200"/>
        <w:rPr>
          <w:rFonts w:ascii="宋体" w:hAnsi="宋体" w:cs="宋体"/>
          <w:szCs w:val="21"/>
        </w:rPr>
      </w:pPr>
      <w:r>
        <w:rPr>
          <w:rFonts w:hint="eastAsia" w:ascii="宋体" w:hAnsi="宋体" w:cs="宋体"/>
          <w:szCs w:val="21"/>
        </w:rPr>
        <w:t>（4）抵质押品的处理</w:t>
      </w:r>
    </w:p>
    <w:p>
      <w:pPr>
        <w:spacing w:line="440" w:lineRule="exact"/>
        <w:ind w:firstLine="420" w:firstLineChars="200"/>
        <w:rPr>
          <w:rFonts w:ascii="宋体" w:hAnsi="宋体" w:cs="宋体"/>
          <w:szCs w:val="21"/>
        </w:rPr>
      </w:pPr>
      <w:r>
        <w:rPr>
          <w:rFonts w:hint="eastAsia" w:ascii="宋体" w:hAnsi="宋体" w:cs="宋体"/>
          <w:szCs w:val="21"/>
        </w:rPr>
        <w:t>不论商业银行提交的资产是否作为抵质押品，均应对其计提资本。如果商业银行作为清算会员或客户，其资产或抵质押品提交给中央交易对手或另一家清算会员，且无法实现破产隔离，应按照资产或抵质押品持有主体确定风险权重（如果持有主体为中央交易对手，风险权重为2%），进而计算交易对手信用风险资本要求；如果抵质押品由托管人保管且以破产隔离方式持有，无需对该抵质押品计提交易对手信用风险资本要求。若中央交易对手代表客户持有抵质押品且无法实现破产隔离，但满足本部分（3）</w:t>
      </w:r>
      <w:r>
        <w:rPr>
          <w:rFonts w:hint="eastAsia" w:ascii="宋体" w:hAnsi="宋体" w:cs="宋体"/>
          <w:szCs w:val="21"/>
        </w:rPr>
        <w:fldChar w:fldCharType="begin"/>
      </w:r>
      <w:r>
        <w:rPr>
          <w:rFonts w:hint="eastAsia" w:ascii="宋体" w:hAnsi="宋体" w:cs="宋体"/>
          <w:szCs w:val="21"/>
        </w:rPr>
        <w:instrText xml:space="preserve"> = 1 \* GB3 \* MERGEFORMAT </w:instrText>
      </w:r>
      <w:r>
        <w:rPr>
          <w:rFonts w:hint="eastAsia" w:ascii="宋体" w:hAnsi="宋体" w:cs="宋体"/>
          <w:szCs w:val="21"/>
        </w:rPr>
        <w:fldChar w:fldCharType="separate"/>
      </w:r>
      <w:r>
        <w:t>①</w:t>
      </w:r>
      <w:r>
        <w:rPr>
          <w:rFonts w:hint="eastAsia" w:ascii="宋体" w:hAnsi="宋体" w:cs="宋体"/>
          <w:szCs w:val="21"/>
        </w:rPr>
        <w:fldChar w:fldCharType="end"/>
      </w:r>
      <w:r>
        <w:rPr>
          <w:rFonts w:hint="eastAsia" w:ascii="宋体" w:hAnsi="宋体" w:cs="宋体"/>
          <w:szCs w:val="21"/>
        </w:rPr>
        <w:t>条件的该抵质押品风险权重为2%；满足（3）</w:t>
      </w:r>
      <w:r>
        <w:rPr>
          <w:rFonts w:hint="eastAsia" w:ascii="宋体" w:hAnsi="宋体" w:cs="宋体"/>
          <w:szCs w:val="21"/>
        </w:rPr>
        <w:fldChar w:fldCharType="begin"/>
      </w:r>
      <w:r>
        <w:rPr>
          <w:rFonts w:hint="eastAsia" w:ascii="宋体" w:hAnsi="宋体" w:cs="宋体"/>
          <w:szCs w:val="21"/>
        </w:rPr>
        <w:instrText xml:space="preserve"> = 2 \* GB3 \* MERGEFORMAT </w:instrText>
      </w:r>
      <w:r>
        <w:rPr>
          <w:rFonts w:hint="eastAsia" w:ascii="宋体" w:hAnsi="宋体" w:cs="宋体"/>
          <w:szCs w:val="21"/>
        </w:rPr>
        <w:fldChar w:fldCharType="separate"/>
      </w:r>
      <w:r>
        <w:t>②</w:t>
      </w:r>
      <w:r>
        <w:rPr>
          <w:rFonts w:hint="eastAsia" w:ascii="宋体" w:hAnsi="宋体" w:cs="宋体"/>
          <w:szCs w:val="21"/>
        </w:rPr>
        <w:fldChar w:fldCharType="end"/>
      </w:r>
      <w:r>
        <w:rPr>
          <w:rFonts w:hint="eastAsia" w:ascii="宋体" w:hAnsi="宋体" w:cs="宋体"/>
          <w:szCs w:val="21"/>
        </w:rPr>
        <w:t>条件的该抵质押品风险权重为4%。</w:t>
      </w:r>
    </w:p>
    <w:p>
      <w:pPr>
        <w:spacing w:line="440" w:lineRule="exact"/>
        <w:ind w:firstLine="420" w:firstLineChars="200"/>
        <w:rPr>
          <w:rFonts w:ascii="宋体" w:hAnsi="宋体" w:cs="宋体"/>
          <w:szCs w:val="21"/>
        </w:rPr>
      </w:pPr>
      <w:r>
        <w:rPr>
          <w:rFonts w:hint="eastAsia" w:ascii="宋体" w:hAnsi="宋体" w:cs="宋体"/>
          <w:szCs w:val="21"/>
        </w:rPr>
        <w:t>以破产隔离方式持有是指：当交易对手破产或无力偿还债务时，抵质押物可以免于被强制执行或被法院禁止返还，抵押/出质人可收回抵质押物。以破产隔离方式持有的抵质押物应有独立账户托管。</w:t>
      </w:r>
      <w:r>
        <w:rPr>
          <w:rFonts w:hint="eastAsia" w:ascii="宋体" w:hAnsi="宋体" w:cs="宋体"/>
          <w:szCs w:val="21"/>
        </w:rPr>
        <w:tab/>
      </w:r>
    </w:p>
    <w:p>
      <w:pPr>
        <w:numPr>
          <w:ilvl w:val="0"/>
          <w:numId w:val="2"/>
        </w:numPr>
        <w:spacing w:line="440" w:lineRule="exact"/>
        <w:ind w:firstLine="420" w:firstLineChars="200"/>
        <w:rPr>
          <w:rFonts w:ascii="宋体" w:hAnsi="宋体" w:cs="宋体"/>
          <w:szCs w:val="21"/>
        </w:rPr>
      </w:pPr>
      <w:r>
        <w:rPr>
          <w:rFonts w:hint="eastAsia"/>
          <w:bCs/>
          <w:szCs w:val="21"/>
        </w:rPr>
        <w:t>填报机构</w:t>
      </w:r>
      <w:r>
        <w:rPr>
          <w:rFonts w:hint="eastAsia" w:ascii="宋体" w:hAnsi="宋体" w:cs="宋体"/>
          <w:szCs w:val="21"/>
        </w:rPr>
        <w:t>应按照双边交易计算对不合格中央交易对手交易风险暴露的风险加权资产。</w:t>
      </w:r>
      <w:r>
        <w:rPr>
          <w:rFonts w:hint="eastAsia"/>
          <w:bCs/>
          <w:szCs w:val="21"/>
        </w:rPr>
        <w:t>填报机构</w:t>
      </w:r>
      <w:r>
        <w:rPr>
          <w:rFonts w:hint="eastAsia" w:ascii="宋体" w:hAnsi="宋体" w:cs="宋体"/>
          <w:szCs w:val="21"/>
        </w:rPr>
        <w:t>应根据信用风险权重法确定不合格中央交易对手的风险权重。</w:t>
      </w:r>
    </w:p>
    <w:p>
      <w:pPr>
        <w:spacing w:line="440" w:lineRule="exact"/>
        <w:ind w:firstLine="420" w:firstLineChars="200"/>
        <w:rPr>
          <w:rFonts w:ascii="宋体" w:hAnsi="宋体" w:cs="宋体"/>
          <w:szCs w:val="21"/>
        </w:rPr>
      </w:pPr>
      <w:r>
        <w:rPr>
          <w:rFonts w:hint="eastAsia" w:ascii="宋体" w:hAnsi="宋体" w:cs="宋体"/>
          <w:szCs w:val="21"/>
        </w:rPr>
        <w:t>2.违约基金风险暴露</w:t>
      </w:r>
    </w:p>
    <w:p>
      <w:pPr>
        <w:spacing w:line="440" w:lineRule="exact"/>
        <w:ind w:firstLine="420" w:firstLineChars="200"/>
        <w:rPr>
          <w:rFonts w:ascii="宋体" w:hAnsi="宋体" w:cs="宋体"/>
          <w:szCs w:val="21"/>
        </w:rPr>
      </w:pPr>
      <w:r>
        <w:rPr>
          <w:rFonts w:hint="eastAsia" w:ascii="宋体" w:hAnsi="宋体" w:cs="宋体"/>
          <w:szCs w:val="21"/>
        </w:rPr>
        <w:t>违约基金可由仅具有结算风险的产品或业务类型（如，股票和债券）与产生交易对手信用风险的产品或业务类型（如，场外衍生工具、交易所交易的衍生工具、证券融资交易以及长期限结算交易）之间共享。如果清算会员缴纳的违约基金已按产品类型隔离，则应分类计量。如果中央交易对手的预缴资源可在产品类型之间共享，则需根据产品的违约风险暴露比例对预缴资源进行分配。清算会员在确定违约基金风险权重时，应考虑如下因素：合格中央交易对手财务资源的规模和质量；中央交易对手的交易对手信风险暴露；当一个或多个清算会员违约时，中央交易对手的违约处置流程。违约基金的资本计提要求应分两步计算：</w:t>
      </w:r>
    </w:p>
    <w:p>
      <w:pPr>
        <w:spacing w:line="440" w:lineRule="exact"/>
        <w:ind w:firstLine="420" w:firstLineChars="200"/>
        <w:rPr>
          <w:rFonts w:ascii="宋体" w:hAnsi="宋体" w:cs="宋体"/>
          <w:szCs w:val="21"/>
        </w:rPr>
      </w:pPr>
      <w:r>
        <w:rPr>
          <w:rFonts w:hint="eastAsia" w:ascii="宋体" w:hAnsi="宋体" w:cs="宋体"/>
          <w:szCs w:val="21"/>
        </w:rPr>
        <w:t>（1）计算中央交易对手对所有清算会员及其客户的交易对手信用风险暴露应计提的虚拟资本要求。公式如下：</w:t>
      </w:r>
    </w:p>
    <w:p>
      <w:pPr>
        <w:jc w:val="center"/>
        <w:rPr>
          <w:rFonts w:ascii="宋体" w:hAnsi="宋体" w:cs="宋体"/>
          <w:szCs w:val="21"/>
        </w:rPr>
      </w:pPr>
      <w:r>
        <w:drawing>
          <wp:inline distT="0" distB="0" distL="114300" distR="114300">
            <wp:extent cx="2068195" cy="374015"/>
            <wp:effectExtent l="0" t="0" r="8255" b="6985"/>
            <wp:docPr id="15"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8"/>
                    <pic:cNvPicPr>
                      <a:picLocks noChangeAspect="1"/>
                    </pic:cNvPicPr>
                  </pic:nvPicPr>
                  <pic:blipFill>
                    <a:blip r:embed="rId88"/>
                    <a:stretch>
                      <a:fillRect/>
                    </a:stretch>
                  </pic:blipFill>
                  <pic:spPr>
                    <a:xfrm>
                      <a:off x="0" y="0"/>
                      <a:ext cx="2068195" cy="374015"/>
                    </a:xfrm>
                    <a:prstGeom prst="rect">
                      <a:avLst/>
                    </a:prstGeom>
                    <a:noFill/>
                    <a:ln>
                      <a:noFill/>
                    </a:ln>
                  </pic:spPr>
                </pic:pic>
              </a:graphicData>
            </a:graphic>
          </wp:inline>
        </w:drawing>
      </w:r>
    </w:p>
    <w:p>
      <w:pPr>
        <w:spacing w:line="440" w:lineRule="exact"/>
        <w:ind w:firstLine="420" w:firstLineChars="200"/>
        <w:rPr>
          <w:rFonts w:ascii="宋体" w:hAnsi="宋体" w:cs="宋体"/>
          <w:szCs w:val="21"/>
        </w:rPr>
      </w:pPr>
      <w:r>
        <w:rPr>
          <w:rFonts w:hint="eastAsia" w:ascii="宋体" w:hAnsi="宋体" w:cs="宋体"/>
          <w:szCs w:val="21"/>
        </w:rPr>
        <w:t>其中，</w:t>
      </w:r>
    </w:p>
    <w:p>
      <w:pPr>
        <w:spacing w:line="440" w:lineRule="exact"/>
        <w:ind w:firstLine="420" w:firstLineChars="200"/>
        <w:rPr>
          <w:rFonts w:ascii="宋体" w:hAnsi="宋体" w:cs="宋体"/>
          <w:szCs w:val="21"/>
        </w:rPr>
      </w:pPr>
      <w:r>
        <w:rPr>
          <w:rFonts w:hint="eastAsia" w:ascii="宋体" w:hAnsi="宋体" w:cs="宋体"/>
          <w:szCs w:val="21"/>
        </w:rPr>
        <w:t>RW（风险权重）为20%；</w:t>
      </w:r>
    </w:p>
    <w:p>
      <w:pPr>
        <w:spacing w:line="440" w:lineRule="exact"/>
        <w:ind w:firstLine="420" w:firstLineChars="200"/>
        <w:rPr>
          <w:rFonts w:ascii="宋体" w:hAnsi="宋体" w:cs="宋体"/>
          <w:szCs w:val="21"/>
        </w:rPr>
      </w:pPr>
      <w:r>
        <w:rPr>
          <w:rFonts w:hint="eastAsia" w:ascii="宋体" w:hAnsi="宋体" w:cs="宋体"/>
          <w:szCs w:val="21"/>
        </w:rPr>
        <w:t>Capital ratio（资本比例）为8%；</w:t>
      </w:r>
    </w:p>
    <w:p>
      <w:pPr>
        <w:spacing w:line="440" w:lineRule="exact"/>
        <w:ind w:firstLine="424" w:firstLineChars="200"/>
        <w:rPr>
          <w:rFonts w:ascii="宋体" w:hAnsi="宋体" w:cs="宋体"/>
          <w:szCs w:val="21"/>
        </w:rPr>
      </w:pPr>
      <w:r>
        <w:rPr>
          <w:rFonts w:hint="eastAsia" w:ascii="宋体" w:hAnsi="宋体" w:cs="宋体"/>
          <w:spacing w:val="1"/>
          <w:position w:val="-12"/>
          <w:szCs w:val="21"/>
        </w:rPr>
        <w:object>
          <v:shape id="_x0000_i1065" o:spt="75" type="#_x0000_t75" style="height:18.6pt;width:30pt;" o:ole="t" filled="f" o:preferrelative="t" stroked="f" coordsize="21600,21600">
            <v:path/>
            <v:fill on="f" focussize="0,0"/>
            <v:stroke on="f" joinstyle="miter"/>
            <v:imagedata r:id="rId90" o:title=""/>
            <o:lock v:ext="edit" aspectratio="t"/>
            <w10:wrap type="none"/>
            <w10:anchorlock/>
          </v:shape>
          <o:OLEObject Type="Embed" ProgID="Equation.3" ShapeID="_x0000_i1065" DrawAspect="Content" ObjectID="_1468075765" r:id="rId89">
            <o:LockedField>false</o:LockedField>
          </o:OLEObject>
        </w:object>
      </w:r>
      <w:r>
        <w:rPr>
          <w:rFonts w:hint="eastAsia" w:ascii="宋体" w:hAnsi="宋体" w:cs="宋体"/>
          <w:szCs w:val="21"/>
        </w:rPr>
        <w:t>是中央交易对手对清算会员“i”的风险暴露，该暴露按照截至监管报告日期的，最后追加变动保证金之前的数额进行估值。该风险暴露包括两部分：（1）清算会员自身的交易及由清算会员担保的客户交易；（2）中央交易对手对在（1）所列示的交易中持有的抵质押品的价值（包括清算会员的预缴资源）。</w:t>
      </w:r>
    </w:p>
    <w:p>
      <w:pPr>
        <w:spacing w:line="440" w:lineRule="exact"/>
        <w:ind w:firstLine="420" w:firstLineChars="200"/>
        <w:rPr>
          <w:rFonts w:ascii="宋体" w:hAnsi="宋体" w:cs="宋体"/>
          <w:szCs w:val="21"/>
        </w:rPr>
      </w:pPr>
      <w:r>
        <w:rPr>
          <w:rFonts w:hint="eastAsia" w:ascii="宋体" w:hAnsi="宋体" w:cs="宋体"/>
          <w:szCs w:val="21"/>
        </w:rPr>
        <w:t>关于该步骤的补充说明如下：</w:t>
      </w:r>
    </w:p>
    <w:p>
      <w:pPr>
        <w:spacing w:line="440" w:lineRule="exact"/>
        <w:ind w:firstLine="420" w:firstLineChars="200"/>
        <w:rPr>
          <w:rFonts w:ascii="宋体" w:hAnsi="宋体" w:cs="宋体"/>
          <w:szCs w:val="21"/>
        </w:rPr>
      </w:pPr>
      <w:r>
        <w:rPr>
          <w:rFonts w:hint="eastAsia" w:ascii="宋体" w:hAnsi="宋体" w:cs="宋体"/>
          <w:szCs w:val="21"/>
        </w:rPr>
        <w:fldChar w:fldCharType="begin"/>
      </w:r>
      <w:r>
        <w:rPr>
          <w:rFonts w:hint="eastAsia" w:ascii="宋体" w:hAnsi="宋体" w:cs="宋体"/>
          <w:szCs w:val="21"/>
        </w:rPr>
        <w:instrText xml:space="preserve"> = 1 \* GB3 \* MERGEFORMAT </w:instrText>
      </w:r>
      <w:r>
        <w:rPr>
          <w:rFonts w:hint="eastAsia" w:ascii="宋体" w:hAnsi="宋体" w:cs="宋体"/>
          <w:szCs w:val="21"/>
        </w:rPr>
        <w:fldChar w:fldCharType="separate"/>
      </w:r>
      <w:r>
        <w:t>①</w:t>
      </w:r>
      <w:r>
        <w:rPr>
          <w:rFonts w:hint="eastAsia" w:ascii="宋体" w:hAnsi="宋体" w:cs="宋体"/>
          <w:szCs w:val="21"/>
        </w:rPr>
        <w:fldChar w:fldCharType="end"/>
      </w:r>
      <w:r>
        <w:rPr>
          <w:rFonts w:hint="eastAsia" w:ascii="宋体" w:hAnsi="宋体" w:cs="宋体"/>
          <w:szCs w:val="21"/>
        </w:rPr>
        <w:t>此公式中计算的</w:t>
      </w:r>
      <w:r>
        <w:rPr>
          <w:rFonts w:hint="eastAsia" w:ascii="宋体" w:hAnsi="宋体" w:cs="宋体"/>
          <w:position w:val="-12"/>
          <w:szCs w:val="21"/>
        </w:rPr>
        <w:object>
          <v:shape id="_x0000_i1066" o:spt="75" type="#_x0000_t75" style="height:18.6pt;width:27.6pt;" o:ole="t" filled="f" o:preferrelative="t" stroked="f" coordsize="21600,21600">
            <v:path/>
            <v:fill on="f" focussize="0,0"/>
            <v:stroke on="f" joinstyle="miter"/>
            <v:imagedata r:id="rId92" o:title=""/>
            <o:lock v:ext="edit" aspectratio="t"/>
            <w10:wrap type="none"/>
            <w10:anchorlock/>
          </v:shape>
          <o:OLEObject Type="Embed" ProgID="Equation.3" ShapeID="_x0000_i1066" DrawAspect="Content" ObjectID="_1468075766" r:id="rId91">
            <o:LockedField>false</o:LockedField>
          </o:OLEObject>
        </w:object>
      </w:r>
      <w:r>
        <w:rPr>
          <w:rFonts w:hint="eastAsia" w:ascii="宋体" w:hAnsi="宋体" w:cs="宋体"/>
          <w:szCs w:val="21"/>
        </w:rPr>
        <w:t>用于确定清算会员违约基金风险暴露需计提的资本，不代表由中央交易对手及其监管部门确定的中央交易对手的实际资本要求。</w:t>
      </w:r>
    </w:p>
    <w:p>
      <w:pPr>
        <w:spacing w:line="440" w:lineRule="exact"/>
        <w:ind w:firstLine="420" w:firstLineChars="200"/>
        <w:rPr>
          <w:rFonts w:ascii="宋体" w:hAnsi="宋体" w:cs="宋体"/>
          <w:szCs w:val="21"/>
        </w:rPr>
      </w:pPr>
      <w:r>
        <w:rPr>
          <w:rFonts w:hint="eastAsia" w:ascii="宋体" w:hAnsi="宋体" w:cs="宋体"/>
          <w:szCs w:val="21"/>
        </w:rPr>
        <w:fldChar w:fldCharType="begin"/>
      </w:r>
      <w:r>
        <w:rPr>
          <w:rFonts w:hint="eastAsia" w:ascii="宋体" w:hAnsi="宋体" w:cs="宋体"/>
          <w:szCs w:val="21"/>
        </w:rPr>
        <w:instrText xml:space="preserve"> = 2 \* GB3 \* MERGEFORMAT </w:instrText>
      </w:r>
      <w:r>
        <w:rPr>
          <w:rFonts w:hint="eastAsia" w:ascii="宋体" w:hAnsi="宋体" w:cs="宋体"/>
          <w:szCs w:val="21"/>
        </w:rPr>
        <w:fldChar w:fldCharType="separate"/>
      </w:r>
      <w:r>
        <w:t>②</w:t>
      </w:r>
      <w:r>
        <w:rPr>
          <w:rFonts w:hint="eastAsia" w:ascii="宋体" w:hAnsi="宋体" w:cs="宋体"/>
          <w:szCs w:val="21"/>
        </w:rPr>
        <w:fldChar w:fldCharType="end"/>
      </w:r>
      <w:r>
        <w:rPr>
          <w:rFonts w:hint="eastAsia" w:ascii="宋体" w:hAnsi="宋体" w:cs="宋体"/>
          <w:szCs w:val="21"/>
        </w:rPr>
        <w:t>RW（风险权重）为20％。国家金融监督管理总局有权根据中央交易对手清算会员的评级等指标，上调风险权重。如发生上调，则相关银行应及时告知完成此计算的相关机构及人员。</w:t>
      </w:r>
    </w:p>
    <w:p>
      <w:pPr>
        <w:spacing w:line="440" w:lineRule="exact"/>
        <w:ind w:firstLine="420" w:firstLineChars="200"/>
        <w:rPr>
          <w:rFonts w:ascii="宋体" w:hAnsi="宋体" w:cs="宋体"/>
          <w:szCs w:val="21"/>
        </w:rPr>
      </w:pPr>
      <w:r>
        <w:rPr>
          <w:rFonts w:hint="eastAsia" w:ascii="宋体" w:hAnsi="宋体" w:cs="宋体"/>
          <w:szCs w:val="21"/>
        </w:rPr>
        <w:fldChar w:fldCharType="begin"/>
      </w:r>
      <w:r>
        <w:rPr>
          <w:rFonts w:hint="eastAsia" w:ascii="宋体" w:hAnsi="宋体" w:cs="宋体"/>
          <w:szCs w:val="21"/>
        </w:rPr>
        <w:instrText xml:space="preserve"> = 3 \* GB3 \* MERGEFORMAT </w:instrText>
      </w:r>
      <w:r>
        <w:rPr>
          <w:rFonts w:hint="eastAsia" w:ascii="宋体" w:hAnsi="宋体" w:cs="宋体"/>
          <w:szCs w:val="21"/>
        </w:rPr>
        <w:fldChar w:fldCharType="separate"/>
      </w:r>
      <w:r>
        <w:t>③</w:t>
      </w:r>
      <w:r>
        <w:rPr>
          <w:rFonts w:hint="eastAsia" w:ascii="宋体" w:hAnsi="宋体" w:cs="宋体"/>
          <w:szCs w:val="21"/>
        </w:rPr>
        <w:fldChar w:fldCharType="end"/>
      </w:r>
      <w:r>
        <w:rPr>
          <w:rFonts w:hint="eastAsia" w:ascii="宋体" w:hAnsi="宋体" w:cs="宋体"/>
          <w:szCs w:val="21"/>
        </w:rPr>
        <w:t>如果清算会员开展代理客户清算业务，并且客户在清算会员处有代理交易和抵质押品的独立专用子账户，则上述公式中的会员违约风险暴露等于客户子账户违约风险暴露与自营子账户违约风险暴露之和。对于子账户中的衍生工具和证券融资交易需分别按类计量，即子账户的违约风险暴露为衍生工具的违约风险暴露和证券融资交易的违约风险暴露之和。</w:t>
      </w:r>
    </w:p>
    <w:p>
      <w:pPr>
        <w:spacing w:line="440" w:lineRule="exact"/>
        <w:ind w:firstLine="420" w:firstLineChars="200"/>
        <w:rPr>
          <w:rFonts w:ascii="宋体" w:hAnsi="宋体" w:cs="宋体"/>
          <w:szCs w:val="21"/>
        </w:rPr>
      </w:pPr>
      <w:r>
        <w:rPr>
          <w:rFonts w:hint="eastAsia" w:ascii="宋体" w:hAnsi="宋体" w:cs="宋体"/>
          <w:szCs w:val="21"/>
        </w:rPr>
        <w:fldChar w:fldCharType="begin"/>
      </w:r>
      <w:r>
        <w:rPr>
          <w:rFonts w:hint="eastAsia" w:ascii="宋体" w:hAnsi="宋体" w:cs="宋体"/>
          <w:szCs w:val="21"/>
        </w:rPr>
        <w:instrText xml:space="preserve"> = 4 \* GB3 \* MERGEFORMAT </w:instrText>
      </w:r>
      <w:r>
        <w:rPr>
          <w:rFonts w:hint="eastAsia" w:ascii="宋体" w:hAnsi="宋体" w:cs="宋体"/>
          <w:szCs w:val="21"/>
        </w:rPr>
        <w:fldChar w:fldCharType="separate"/>
      </w:r>
      <w:r>
        <w:t>④</w:t>
      </w:r>
      <w:r>
        <w:rPr>
          <w:rFonts w:hint="eastAsia" w:ascii="宋体" w:hAnsi="宋体" w:cs="宋体"/>
          <w:szCs w:val="21"/>
        </w:rPr>
        <w:fldChar w:fldCharType="end"/>
      </w:r>
      <w:r>
        <w:rPr>
          <w:rFonts w:hint="eastAsia" w:ascii="宋体" w:hAnsi="宋体" w:cs="宋体"/>
          <w:szCs w:val="21"/>
        </w:rPr>
        <w:t>如果抵质押品同时覆盖证券融资交易和衍生工具，则清算会员或客户的预缴初始保证金需区分证券融资交易和衍生工具并按风险暴露比例分配，证券融资交易和除抵质押品外的衍生工具按照《办法》附件9计量规则计算风险暴露。</w:t>
      </w:r>
    </w:p>
    <w:p>
      <w:pPr>
        <w:spacing w:line="440" w:lineRule="exact"/>
        <w:ind w:firstLine="420" w:firstLineChars="200"/>
        <w:rPr>
          <w:rFonts w:ascii="宋体" w:hAnsi="宋体" w:cs="宋体"/>
          <w:szCs w:val="21"/>
        </w:rPr>
      </w:pPr>
      <w:r>
        <w:rPr>
          <w:rFonts w:hint="eastAsia" w:ascii="宋体" w:hAnsi="宋体" w:cs="宋体"/>
          <w:szCs w:val="21"/>
        </w:rPr>
        <w:fldChar w:fldCharType="begin"/>
      </w:r>
      <w:r>
        <w:rPr>
          <w:rFonts w:hint="eastAsia" w:ascii="宋体" w:hAnsi="宋体" w:cs="宋体"/>
          <w:szCs w:val="21"/>
        </w:rPr>
        <w:instrText xml:space="preserve"> = 5 \* GB3 \* MERGEFORMAT </w:instrText>
      </w:r>
      <w:r>
        <w:rPr>
          <w:rFonts w:hint="eastAsia" w:ascii="宋体" w:hAnsi="宋体" w:cs="宋体"/>
          <w:szCs w:val="21"/>
        </w:rPr>
        <w:fldChar w:fldCharType="separate"/>
      </w:r>
      <w:r>
        <w:t>⑤</w:t>
      </w:r>
      <w:r>
        <w:rPr>
          <w:rFonts w:hint="eastAsia" w:ascii="宋体" w:hAnsi="宋体" w:cs="宋体"/>
          <w:szCs w:val="21"/>
        </w:rPr>
        <w:fldChar w:fldCharType="end"/>
      </w:r>
      <w:r>
        <w:rPr>
          <w:rFonts w:hint="eastAsia" w:ascii="宋体" w:hAnsi="宋体" w:cs="宋体"/>
          <w:szCs w:val="21"/>
        </w:rPr>
        <w:t>如果清算会员缴纳的违约基金不能按照客户子账户和自营子账户区分分配，则应按照子账户的初始保证金相对于清算会员提交的总初始保证金的比例，对每个子账户进行分配。</w:t>
      </w:r>
    </w:p>
    <w:p>
      <w:pPr>
        <w:spacing w:line="440" w:lineRule="exact"/>
        <w:ind w:firstLine="420" w:firstLineChars="200"/>
        <w:rPr>
          <w:rFonts w:ascii="宋体" w:hAnsi="宋体" w:cs="宋体"/>
          <w:szCs w:val="21"/>
        </w:rPr>
      </w:pPr>
      <w:r>
        <w:rPr>
          <w:rFonts w:hint="eastAsia" w:ascii="宋体" w:hAnsi="宋体" w:cs="宋体"/>
          <w:szCs w:val="21"/>
        </w:rPr>
        <w:fldChar w:fldCharType="begin"/>
      </w:r>
      <w:r>
        <w:rPr>
          <w:rFonts w:hint="eastAsia" w:ascii="宋体" w:hAnsi="宋体" w:cs="宋体"/>
          <w:szCs w:val="21"/>
        </w:rPr>
        <w:instrText xml:space="preserve"> = 6 \* GB3 \* MERGEFORMAT </w:instrText>
      </w:r>
      <w:r>
        <w:rPr>
          <w:rFonts w:hint="eastAsia" w:ascii="宋体" w:hAnsi="宋体" w:cs="宋体"/>
          <w:szCs w:val="21"/>
        </w:rPr>
        <w:fldChar w:fldCharType="separate"/>
      </w:r>
      <w:r>
        <w:t>⑥</w:t>
      </w:r>
      <w:r>
        <w:rPr>
          <w:rFonts w:hint="eastAsia" w:ascii="宋体" w:hAnsi="宋体" w:cs="宋体"/>
          <w:szCs w:val="21"/>
        </w:rPr>
        <w:fldChar w:fldCharType="end"/>
      </w:r>
      <w:r>
        <w:rPr>
          <w:rFonts w:hint="eastAsia" w:ascii="宋体" w:hAnsi="宋体" w:cs="宋体"/>
          <w:szCs w:val="21"/>
        </w:rPr>
        <w:t>对于衍生工具的违约风险暴露，按《办法》附件9计量规则计算风险暴露。计算时：应使用10天的保证金风险期间（MPOR）来计算中央交易对手在衍生工具交易中对清算会员的潜在未来风险暴露。同时，交易数量超过5000笔的净额结算组合的20天的保证金风险期间（MPOR）的底线不适用。若清算会员或客户违约，中央交易对手有权处置其所持有的抵质押品（包括会员缴纳的违约基金），用于抵消中央交易对手对该会员或客户的风险暴露，并按照交易对手信用风险标准法，将其包含在潜在未来风险暴露乘数（PFE multiplier）中。</w:t>
      </w:r>
    </w:p>
    <w:p>
      <w:pPr>
        <w:spacing w:line="440" w:lineRule="exact"/>
        <w:ind w:firstLine="420" w:firstLineChars="200"/>
        <w:rPr>
          <w:rFonts w:ascii="宋体" w:hAnsi="宋体" w:cs="宋体"/>
          <w:szCs w:val="21"/>
        </w:rPr>
      </w:pPr>
      <w:r>
        <w:rPr>
          <w:rFonts w:hint="eastAsia" w:ascii="宋体" w:hAnsi="宋体" w:cs="宋体"/>
          <w:szCs w:val="21"/>
        </w:rPr>
        <w:fldChar w:fldCharType="begin"/>
      </w:r>
      <w:r>
        <w:rPr>
          <w:rFonts w:hint="eastAsia" w:ascii="宋体" w:hAnsi="宋体" w:cs="宋体"/>
          <w:szCs w:val="21"/>
        </w:rPr>
        <w:instrText xml:space="preserve"> = 7 \* GB3 \* MERGEFORMAT </w:instrText>
      </w:r>
      <w:r>
        <w:rPr>
          <w:rFonts w:hint="eastAsia" w:ascii="宋体" w:hAnsi="宋体" w:cs="宋体"/>
          <w:szCs w:val="21"/>
        </w:rPr>
        <w:fldChar w:fldCharType="separate"/>
      </w:r>
      <w:r>
        <w:t>⑦</w:t>
      </w:r>
      <w:r>
        <w:rPr>
          <w:rFonts w:hint="eastAsia" w:ascii="宋体" w:hAnsi="宋体" w:cs="宋体"/>
          <w:szCs w:val="21"/>
        </w:rPr>
        <w:fldChar w:fldCharType="end"/>
      </w:r>
      <w:r>
        <w:rPr>
          <w:rFonts w:hint="eastAsia" w:ascii="宋体" w:hAnsi="宋体" w:cs="宋体"/>
          <w:szCs w:val="21"/>
        </w:rPr>
        <w:t>证券融资交易的违约风险暴露按</w:t>
      </w:r>
      <w:r>
        <w:drawing>
          <wp:inline distT="0" distB="0" distL="114300" distR="114300">
            <wp:extent cx="1613535" cy="238760"/>
            <wp:effectExtent l="0" t="0" r="5715" b="8890"/>
            <wp:docPr id="16"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9"/>
                    <pic:cNvPicPr>
                      <a:picLocks noChangeAspect="1"/>
                    </pic:cNvPicPr>
                  </pic:nvPicPr>
                  <pic:blipFill>
                    <a:blip r:embed="rId93"/>
                    <a:stretch>
                      <a:fillRect/>
                    </a:stretch>
                  </pic:blipFill>
                  <pic:spPr>
                    <a:xfrm>
                      <a:off x="0" y="0"/>
                      <a:ext cx="1613535" cy="238760"/>
                    </a:xfrm>
                    <a:prstGeom prst="rect">
                      <a:avLst/>
                    </a:prstGeom>
                    <a:noFill/>
                    <a:ln>
                      <a:noFill/>
                    </a:ln>
                  </pic:spPr>
                </pic:pic>
              </a:graphicData>
            </a:graphic>
          </wp:inline>
        </w:drawing>
      </w:r>
      <w:r>
        <w:rPr>
          <w:rFonts w:hint="eastAsia" w:ascii="宋体" w:hAnsi="宋体" w:cs="宋体"/>
          <w:szCs w:val="21"/>
        </w:rPr>
        <w:t>计算。其中：</w:t>
      </w:r>
      <w:r>
        <w:rPr>
          <w:rFonts w:hint="eastAsia" w:ascii="宋体" w:hAnsi="宋体" w:cs="宋体"/>
          <w:position w:val="-12"/>
          <w:szCs w:val="21"/>
        </w:rPr>
        <w:object>
          <v:shape id="_x0000_i1067" o:spt="75" type="#_x0000_t75" style="height:18.6pt;width:40.2pt;" o:ole="t" filled="f" o:preferrelative="t" stroked="f" coordsize="21600,21600">
            <v:path/>
            <v:fill on="f" focussize="0,0"/>
            <v:stroke on="f" joinstyle="miter"/>
            <v:imagedata r:id="rId95" o:title=""/>
            <o:lock v:ext="edit" aspectratio="t"/>
            <w10:wrap type="none"/>
            <w10:anchorlock/>
          </v:shape>
          <o:OLEObject Type="Embed" ProgID="Equation.3" ShapeID="_x0000_i1067" DrawAspect="Content" ObjectID="_1468075767" r:id="rId94">
            <o:LockedField>false</o:LockedField>
          </o:OLEObject>
        </w:object>
      </w:r>
      <w:r>
        <w:rPr>
          <w:rFonts w:hint="eastAsia" w:ascii="宋体" w:hAnsi="宋体" w:cs="宋体"/>
          <w:szCs w:val="21"/>
        </w:rPr>
        <w:t>表示对清算会员“i”的风险暴露，按照《办法》附件7第三部分的计量规则计算，追加的变动保证金反映在对各交易的盯市估值中；</w:t>
      </w:r>
      <w:r>
        <w:rPr>
          <w:rFonts w:hint="eastAsia" w:ascii="宋体" w:hAnsi="宋体" w:cs="宋体"/>
          <w:position w:val="-12"/>
          <w:szCs w:val="21"/>
        </w:rPr>
        <w:object>
          <v:shape id="_x0000_i1068" o:spt="75" type="#_x0000_t75" style="height:18.6pt;width:21.6pt;" o:ole="t" filled="f" o:preferrelative="t" stroked="f" coordsize="21600,21600">
            <v:path/>
            <v:fill on="f" focussize="0,0"/>
            <v:stroke on="f" joinstyle="miter"/>
            <v:imagedata r:id="rId97" o:title=""/>
            <o:lock v:ext="edit" aspectratio="t"/>
            <w10:wrap type="none"/>
            <w10:anchorlock/>
          </v:shape>
          <o:OLEObject Type="Embed" ProgID="Equation.3" ShapeID="_x0000_i1068" DrawAspect="Content" ObjectID="_1468075768" r:id="rId96">
            <o:LockedField>false</o:LockedField>
          </o:OLEObject>
        </w:object>
      </w:r>
      <w:r>
        <w:rPr>
          <w:rFonts w:hint="eastAsia" w:ascii="宋体" w:hAnsi="宋体" w:cs="宋体"/>
          <w:szCs w:val="21"/>
        </w:rPr>
        <w:t>是清算会员i缴纳的初始保证金；</w:t>
      </w:r>
      <w:r>
        <w:rPr>
          <w:rFonts w:hint="eastAsia" w:ascii="宋体" w:hAnsi="宋体" w:cs="宋体"/>
          <w:position w:val="-12"/>
          <w:szCs w:val="21"/>
        </w:rPr>
        <w:object>
          <v:shape id="_x0000_i1069" o:spt="75" type="#_x0000_t75" style="height:18.6pt;width:21.6pt;" o:ole="t" filled="f" o:preferrelative="t" stroked="f" coordsize="21600,21600">
            <v:path/>
            <v:fill on="f" focussize="0,0"/>
            <v:stroke on="f" joinstyle="miter"/>
            <v:imagedata r:id="rId99" o:title=""/>
            <o:lock v:ext="edit" aspectratio="t"/>
            <w10:wrap type="none"/>
            <w10:anchorlock/>
          </v:shape>
          <o:OLEObject Type="Embed" ProgID="Equation.3" ShapeID="_x0000_i1069" DrawAspect="Content" ObjectID="_1468075769" r:id="rId98">
            <o:LockedField>false</o:LockedField>
          </o:OLEObject>
        </w:object>
      </w:r>
      <w:r>
        <w:rPr>
          <w:rFonts w:hint="eastAsia" w:ascii="宋体" w:hAnsi="宋体" w:cs="宋体"/>
          <w:szCs w:val="21"/>
        </w:rPr>
        <w:t>是清算会员i缴纳的违约基金；折扣系数和押品剩余期限的计量应符合《办法》附件7信用风险缓释要求。</w:t>
      </w:r>
    </w:p>
    <w:p>
      <w:pPr>
        <w:spacing w:line="440" w:lineRule="exact"/>
        <w:ind w:firstLine="420" w:firstLineChars="200"/>
        <w:rPr>
          <w:rFonts w:ascii="宋体" w:hAnsi="宋体" w:cs="宋体"/>
          <w:szCs w:val="21"/>
        </w:rPr>
      </w:pPr>
      <w:r>
        <w:rPr>
          <w:rFonts w:hint="eastAsia" w:ascii="宋体" w:hAnsi="宋体" w:cs="宋体"/>
          <w:szCs w:val="21"/>
        </w:rPr>
        <w:fldChar w:fldCharType="begin"/>
      </w:r>
      <w:r>
        <w:rPr>
          <w:rFonts w:hint="eastAsia" w:ascii="宋体" w:hAnsi="宋体" w:cs="宋体"/>
          <w:szCs w:val="21"/>
        </w:rPr>
        <w:instrText xml:space="preserve"> = 8 \* GB3 \* MERGEFORMAT </w:instrText>
      </w:r>
      <w:r>
        <w:rPr>
          <w:rFonts w:hint="eastAsia" w:ascii="宋体" w:hAnsi="宋体" w:cs="宋体"/>
          <w:szCs w:val="21"/>
        </w:rPr>
        <w:fldChar w:fldCharType="separate"/>
      </w:r>
      <w:r>
        <w:t>⑧</w:t>
      </w:r>
      <w:r>
        <w:rPr>
          <w:rFonts w:hint="eastAsia" w:ascii="宋体" w:hAnsi="宋体" w:cs="宋体"/>
          <w:szCs w:val="21"/>
        </w:rPr>
        <w:fldChar w:fldCharType="end"/>
      </w:r>
      <w:r>
        <w:rPr>
          <w:rFonts w:hint="eastAsia" w:ascii="宋体" w:hAnsi="宋体" w:cs="宋体"/>
          <w:szCs w:val="21"/>
        </w:rPr>
        <w:t>应按照中央交易对手与单家清算会员达成的净额结算协议考虑净额结算的作用。国家金融监督管理总局有权要求采用更为细化的净额结算组合。</w:t>
      </w:r>
    </w:p>
    <w:p>
      <w:pPr>
        <w:spacing w:line="440" w:lineRule="exact"/>
        <w:ind w:firstLine="420" w:firstLineChars="200"/>
        <w:rPr>
          <w:rFonts w:ascii="宋体" w:hAnsi="宋体" w:cs="宋体"/>
          <w:szCs w:val="21"/>
        </w:rPr>
      </w:pPr>
      <w:r>
        <w:rPr>
          <w:rFonts w:hint="eastAsia" w:ascii="宋体" w:hAnsi="宋体" w:cs="宋体"/>
          <w:szCs w:val="21"/>
        </w:rPr>
        <w:t>（2）计算每家清算会员的资本要求。在计算每家清算会员违约基金的资本要求时，不考虑已提交的作为违约基金的抵质押品的标准监管折扣。公式如下：</w:t>
      </w:r>
    </w:p>
    <w:p>
      <w:pPr>
        <w:jc w:val="center"/>
        <w:rPr>
          <w:rFonts w:ascii="宋体" w:hAnsi="宋体" w:cs="宋体"/>
          <w:szCs w:val="21"/>
        </w:rPr>
      </w:pPr>
      <w:r>
        <w:drawing>
          <wp:inline distT="0" distB="0" distL="114300" distR="114300">
            <wp:extent cx="3560445" cy="554355"/>
            <wp:effectExtent l="0" t="0" r="1905" b="17145"/>
            <wp:docPr id="17"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0"/>
                    <pic:cNvPicPr>
                      <a:picLocks noChangeAspect="1"/>
                    </pic:cNvPicPr>
                  </pic:nvPicPr>
                  <pic:blipFill>
                    <a:blip r:embed="rId100"/>
                    <a:stretch>
                      <a:fillRect/>
                    </a:stretch>
                  </pic:blipFill>
                  <pic:spPr>
                    <a:xfrm>
                      <a:off x="0" y="0"/>
                      <a:ext cx="3560445" cy="554355"/>
                    </a:xfrm>
                    <a:prstGeom prst="rect">
                      <a:avLst/>
                    </a:prstGeom>
                    <a:noFill/>
                    <a:ln>
                      <a:noFill/>
                    </a:ln>
                  </pic:spPr>
                </pic:pic>
              </a:graphicData>
            </a:graphic>
          </wp:inline>
        </w:drawing>
      </w:r>
    </w:p>
    <w:p>
      <w:pPr>
        <w:spacing w:line="440" w:lineRule="exact"/>
        <w:ind w:firstLine="420" w:firstLineChars="200"/>
        <w:rPr>
          <w:rFonts w:ascii="宋体" w:hAnsi="宋体" w:cs="宋体"/>
          <w:szCs w:val="21"/>
        </w:rPr>
      </w:pPr>
      <w:r>
        <w:rPr>
          <w:rFonts w:hint="eastAsia" w:ascii="宋体" w:hAnsi="宋体" w:cs="宋体"/>
          <w:szCs w:val="21"/>
        </w:rPr>
        <w:t xml:space="preserve">其中， </w:t>
      </w:r>
    </w:p>
    <w:p>
      <w:pPr>
        <w:spacing w:line="440" w:lineRule="exact"/>
        <w:ind w:firstLine="420" w:firstLineChars="200"/>
        <w:rPr>
          <w:rFonts w:ascii="宋体" w:hAnsi="宋体" w:cs="宋体"/>
          <w:szCs w:val="21"/>
        </w:rPr>
      </w:pPr>
      <w:r>
        <w:rPr>
          <w:rFonts w:hint="eastAsia" w:ascii="宋体" w:hAnsi="宋体" w:cs="宋体"/>
          <w:position w:val="-12"/>
          <w:szCs w:val="21"/>
        </w:rPr>
        <w:object>
          <v:shape id="_x0000_i1070" o:spt="75" type="#_x0000_t75" style="height:18.6pt;width:26.4pt;" o:ole="t" filled="f" o:preferrelative="t" stroked="f" coordsize="21600,21600">
            <v:path/>
            <v:fill on="f" focussize="0,0"/>
            <v:stroke on="f" joinstyle="miter"/>
            <v:imagedata r:id="rId102" o:title=""/>
            <o:lock v:ext="edit" aspectratio="t"/>
            <w10:wrap type="none"/>
            <w10:anchorlock/>
          </v:shape>
          <o:OLEObject Type="Embed" ProgID="Equation.3" ShapeID="_x0000_i1070" DrawAspect="Content" ObjectID="_1468075770" r:id="rId101">
            <o:LockedField>false</o:LockedField>
          </o:OLEObject>
        </w:object>
      </w:r>
      <w:r>
        <w:rPr>
          <w:rFonts w:hint="eastAsia" w:ascii="宋体" w:hAnsi="宋体" w:cs="宋体"/>
          <w:szCs w:val="21"/>
        </w:rPr>
        <w:t>是清算会员i缴纳的违约基金的资本要求；</w:t>
      </w:r>
    </w:p>
    <w:p>
      <w:pPr>
        <w:spacing w:line="440" w:lineRule="exact"/>
        <w:ind w:firstLine="420" w:firstLineChars="200"/>
        <w:rPr>
          <w:rFonts w:ascii="宋体" w:hAnsi="宋体" w:cs="宋体"/>
          <w:szCs w:val="21"/>
        </w:rPr>
      </w:pPr>
      <w:r>
        <w:rPr>
          <w:rFonts w:hint="eastAsia" w:ascii="宋体" w:hAnsi="宋体" w:cs="宋体"/>
          <w:position w:val="-12"/>
          <w:szCs w:val="21"/>
        </w:rPr>
        <w:object>
          <v:shape id="_x0000_i1071" o:spt="75" type="#_x0000_t75" style="height:18.6pt;width:36.6pt;" o:ole="t" filled="f" o:preferrelative="t" stroked="f" coordsize="21600,21600">
            <v:path/>
            <v:fill on="f" focussize="0,0"/>
            <v:stroke on="f" joinstyle="miter"/>
            <v:imagedata r:id="rId104" o:title=""/>
            <o:lock v:ext="edit" aspectratio="t"/>
            <w10:wrap type="none"/>
            <w10:anchorlock/>
          </v:shape>
          <o:OLEObject Type="Embed" ProgID="Equation.3" ShapeID="_x0000_i1071" DrawAspect="Content" ObjectID="_1468075771" r:id="rId103">
            <o:LockedField>false</o:LockedField>
          </o:OLEObject>
        </w:object>
      </w:r>
      <w:r>
        <w:rPr>
          <w:rFonts w:hint="eastAsia" w:ascii="宋体" w:hAnsi="宋体" w:cs="宋体"/>
          <w:szCs w:val="21"/>
        </w:rPr>
        <w:t>是清算会员预缴资源的总额；</w:t>
      </w:r>
    </w:p>
    <w:p>
      <w:pPr>
        <w:spacing w:line="440" w:lineRule="exact"/>
        <w:ind w:firstLine="420" w:firstLineChars="200"/>
        <w:rPr>
          <w:rFonts w:ascii="宋体" w:hAnsi="宋体" w:cs="宋体"/>
          <w:szCs w:val="21"/>
        </w:rPr>
      </w:pPr>
      <w:r>
        <w:rPr>
          <w:rFonts w:hint="eastAsia" w:ascii="宋体" w:hAnsi="宋体" w:cs="宋体"/>
          <w:position w:val="-12"/>
          <w:szCs w:val="21"/>
        </w:rPr>
        <w:object>
          <v:shape id="_x0000_i1072" o:spt="75" type="#_x0000_t75" style="height:18.6pt;width:33.6pt;" o:ole="t" filled="f" o:preferrelative="t" stroked="f" coordsize="21600,21600">
            <v:path/>
            <v:fill on="f" focussize="0,0"/>
            <v:stroke on="f" joinstyle="miter"/>
            <v:imagedata r:id="rId106" o:title=""/>
            <o:lock v:ext="edit" aspectratio="t"/>
            <w10:wrap type="none"/>
            <w10:anchorlock/>
          </v:shape>
          <o:OLEObject Type="Embed" ProgID="Equation.3" ShapeID="_x0000_i1072" DrawAspect="Content" ObjectID="_1468075772" r:id="rId105">
            <o:LockedField>false</o:LockedField>
          </o:OLEObject>
        </w:object>
      </w:r>
      <w:r>
        <w:rPr>
          <w:rFonts w:hint="eastAsia" w:ascii="宋体" w:hAnsi="宋体" w:cs="宋体"/>
          <w:szCs w:val="21"/>
        </w:rPr>
        <w:t>是中央交易对手自身财务资源（如实收资本、留存收益等）,这些资源应在清算会员缴纳的违约基金之前或同级用于吸收其损失；</w:t>
      </w:r>
    </w:p>
    <w:p>
      <w:pPr>
        <w:spacing w:line="440" w:lineRule="exact"/>
        <w:ind w:firstLine="420" w:firstLineChars="200"/>
        <w:rPr>
          <w:rFonts w:ascii="宋体" w:hAnsi="宋体" w:cs="宋体"/>
          <w:szCs w:val="21"/>
        </w:rPr>
      </w:pPr>
      <w:r>
        <w:rPr>
          <w:rFonts w:hint="eastAsia" w:ascii="宋体" w:hAnsi="宋体" w:cs="宋体"/>
          <w:position w:val="-12"/>
          <w:szCs w:val="21"/>
        </w:rPr>
        <w:object>
          <v:shape id="_x0000_i1073" o:spt="75" type="#_x0000_t75" style="height:18.6pt;width:36.6pt;" o:ole="t" filled="f" o:preferrelative="t" stroked="f" coordsize="21600,21600">
            <v:path/>
            <v:fill on="f" focussize="0,0"/>
            <v:stroke on="f" joinstyle="miter"/>
            <v:imagedata r:id="rId108" o:title=""/>
            <o:lock v:ext="edit" aspectratio="t"/>
            <w10:wrap type="none"/>
            <w10:anchorlock/>
          </v:shape>
          <o:OLEObject Type="Embed" ProgID="Equation.3" ShapeID="_x0000_i1073" DrawAspect="Content" ObjectID="_1468075773" r:id="rId107">
            <o:LockedField>false</o:LockedField>
          </o:OLEObject>
        </w:object>
      </w:r>
      <w:r>
        <w:rPr>
          <w:rFonts w:hint="eastAsia" w:ascii="宋体" w:hAnsi="宋体" w:cs="宋体"/>
          <w:szCs w:val="21"/>
        </w:rPr>
        <w:t>是清算会员i的预缴资源；</w:t>
      </w:r>
    </w:p>
    <w:p>
      <w:pPr>
        <w:spacing w:line="440" w:lineRule="exact"/>
        <w:ind w:firstLine="420" w:firstLineChars="200"/>
        <w:rPr>
          <w:rFonts w:ascii="宋体" w:hAnsi="宋体" w:cs="宋体"/>
          <w:szCs w:val="21"/>
        </w:rPr>
      </w:pPr>
      <w:r>
        <w:rPr>
          <w:rFonts w:hint="eastAsia" w:ascii="宋体" w:hAnsi="宋体" w:cs="宋体"/>
          <w:szCs w:val="21"/>
        </w:rPr>
        <w:t>违约基金风险暴露的风险权重底线为2%。</w:t>
      </w:r>
    </w:p>
    <w:p>
      <w:pPr>
        <w:spacing w:line="440" w:lineRule="exact"/>
        <w:ind w:firstLine="420" w:firstLineChars="200"/>
        <w:rPr>
          <w:rFonts w:ascii="宋体" w:hAnsi="宋体" w:cs="宋体"/>
          <w:position w:val="-12"/>
          <w:szCs w:val="21"/>
        </w:rPr>
      </w:pPr>
      <w:r>
        <w:rPr>
          <w:rFonts w:hint="eastAsia" w:ascii="宋体" w:hAnsi="宋体" w:cs="宋体"/>
          <w:szCs w:val="21"/>
        </w:rPr>
        <w:t>填报机构应分别计算各产品违约基金资本要求并加总，可根据各产品的中央交易对手Kccp占比拆分中央交易对手自身财务资源总额，得到每类产品的财务资源</w:t>
      </w:r>
      <w:r>
        <w:rPr>
          <w:rFonts w:hint="eastAsia" w:ascii="宋体" w:hAnsi="宋体" w:cs="宋体"/>
          <w:position w:val="-12"/>
          <w:szCs w:val="21"/>
        </w:rPr>
        <w:object>
          <v:shape id="_x0000_i1074" o:spt="75" type="#_x0000_t75" style="height:18.6pt;width:33.6pt;" o:ole="t" filled="f" o:preferrelative="t" stroked="f" coordsize="21600,21600">
            <v:path/>
            <v:fill on="f" focussize="0,0"/>
            <v:stroke on="f" joinstyle="miter"/>
            <v:imagedata r:id="rId106" o:title=""/>
            <o:lock v:ext="edit" aspectratio="t"/>
            <w10:wrap type="none"/>
            <w10:anchorlock/>
          </v:shape>
          <o:OLEObject Type="Embed" ProgID="Equation.3" ShapeID="_x0000_i1074" DrawAspect="Content" ObjectID="_1468075774" r:id="rId109">
            <o:LockedField>false</o:LockedField>
          </o:OLEObject>
        </w:object>
      </w:r>
      <w:r>
        <w:rPr>
          <w:rFonts w:hint="eastAsia" w:ascii="宋体" w:hAnsi="宋体" w:cs="宋体"/>
          <w:position w:val="-12"/>
          <w:szCs w:val="21"/>
        </w:rPr>
        <w:t>。</w:t>
      </w:r>
    </w:p>
    <w:p>
      <w:pPr>
        <w:spacing w:line="440" w:lineRule="exact"/>
        <w:ind w:firstLine="420" w:firstLineChars="200"/>
        <w:rPr>
          <w:rFonts w:ascii="宋体" w:hAnsi="宋体" w:cs="宋体"/>
          <w:szCs w:val="21"/>
        </w:rPr>
      </w:pPr>
      <w:r>
        <w:rPr>
          <w:rFonts w:hint="eastAsia" w:ascii="宋体" w:hAnsi="宋体" w:cs="宋体"/>
          <w:szCs w:val="21"/>
        </w:rPr>
        <w:t>违约基金风险暴露的风险加权资产等于违约基金资本要求乘以1</w:t>
      </w:r>
      <w:r>
        <w:rPr>
          <w:rFonts w:ascii="宋体" w:hAnsi="宋体" w:cs="宋体"/>
          <w:szCs w:val="21"/>
        </w:rPr>
        <w:t>2.5</w:t>
      </w:r>
      <w:r>
        <w:rPr>
          <w:rFonts w:hint="eastAsia" w:ascii="宋体" w:hAnsi="宋体" w:cs="宋体"/>
          <w:szCs w:val="21"/>
        </w:rPr>
        <w:t>。</w:t>
      </w:r>
    </w:p>
    <w:p>
      <w:pPr>
        <w:tabs>
          <w:tab w:val="left" w:pos="4111"/>
        </w:tabs>
        <w:spacing w:line="440" w:lineRule="exact"/>
        <w:ind w:firstLine="420" w:firstLineChars="200"/>
        <w:rPr>
          <w:rFonts w:ascii="宋体" w:hAnsi="宋体" w:cs="宋体"/>
          <w:szCs w:val="21"/>
        </w:rPr>
      </w:pPr>
      <w:r>
        <w:rPr>
          <w:rFonts w:hint="eastAsia" w:ascii="宋体" w:hAnsi="宋体" w:cs="宋体"/>
          <w:szCs w:val="21"/>
        </w:rPr>
        <w:t>（3）填报机构对不合格中央交易对手违约基金风险暴露的风险权重为1250%。违约基金风险暴露包括已缴纳的违约基金、未缴纳但应中央交易对手要求须缴纳的违约基金。如果</w:t>
      </w:r>
      <w:r>
        <w:rPr>
          <w:rFonts w:hint="eastAsia"/>
          <w:bCs/>
          <w:szCs w:val="21"/>
        </w:rPr>
        <w:t>填报机构</w:t>
      </w:r>
      <w:r>
        <w:rPr>
          <w:rFonts w:hint="eastAsia" w:ascii="宋体" w:hAnsi="宋体" w:cs="宋体"/>
          <w:szCs w:val="21"/>
        </w:rPr>
        <w:t>有未缴纳的违约基金承诺，国家金融监督管理总局有权在监督检查程序评估框架下要求</w:t>
      </w:r>
      <w:r>
        <w:rPr>
          <w:rFonts w:hint="eastAsia"/>
          <w:bCs/>
          <w:szCs w:val="21"/>
        </w:rPr>
        <w:t>填报机构</w:t>
      </w:r>
      <w:r>
        <w:rPr>
          <w:rFonts w:hint="eastAsia" w:ascii="宋体" w:hAnsi="宋体" w:cs="宋体"/>
          <w:szCs w:val="21"/>
        </w:rPr>
        <w:t>按照1250%的风险权重计提资本。</w:t>
      </w:r>
    </w:p>
    <w:p>
      <w:pPr>
        <w:tabs>
          <w:tab w:val="left" w:pos="4111"/>
        </w:tabs>
        <w:spacing w:line="440" w:lineRule="exact"/>
        <w:ind w:firstLine="420" w:firstLineChars="200"/>
        <w:rPr>
          <w:rFonts w:ascii="宋体" w:hAnsi="宋体" w:cs="宋体"/>
          <w:szCs w:val="21"/>
        </w:rPr>
      </w:pPr>
      <w:r>
        <w:rPr>
          <w:rFonts w:hint="eastAsia" w:ascii="宋体" w:hAnsi="宋体" w:cs="宋体"/>
          <w:szCs w:val="21"/>
        </w:rPr>
        <w:t>1.合格中央交易对手部分</w:t>
      </w:r>
    </w:p>
    <w:p>
      <w:pPr>
        <w:spacing w:line="440" w:lineRule="exact"/>
        <w:ind w:firstLine="420" w:firstLineChars="200"/>
        <w:rPr>
          <w:szCs w:val="21"/>
        </w:rPr>
      </w:pPr>
      <w:r>
        <w:rPr>
          <w:szCs w:val="21"/>
        </w:rPr>
        <w:t>[A</w:t>
      </w:r>
      <w:r>
        <w:rPr>
          <w:rFonts w:hint="eastAsia"/>
          <w:szCs w:val="21"/>
        </w:rPr>
        <w:t>中央</w:t>
      </w:r>
      <w:r>
        <w:rPr>
          <w:szCs w:val="21"/>
        </w:rPr>
        <w:t>交易对手]：是指填报机构，按户计算</w:t>
      </w:r>
      <w:r>
        <w:rPr>
          <w:rFonts w:hint="eastAsia"/>
          <w:szCs w:val="21"/>
        </w:rPr>
        <w:t>和填报</w:t>
      </w:r>
      <w:r>
        <w:rPr>
          <w:szCs w:val="21"/>
        </w:rPr>
        <w:t>每个</w:t>
      </w:r>
      <w:r>
        <w:rPr>
          <w:rFonts w:hint="eastAsia"/>
          <w:szCs w:val="21"/>
        </w:rPr>
        <w:t>合格中央</w:t>
      </w:r>
      <w:r>
        <w:rPr>
          <w:szCs w:val="21"/>
        </w:rPr>
        <w:t>交易对手的全称。</w:t>
      </w:r>
    </w:p>
    <w:p>
      <w:pPr>
        <w:spacing w:line="440" w:lineRule="exact"/>
        <w:ind w:firstLine="420" w:firstLineChars="200"/>
        <w:rPr>
          <w:szCs w:val="21"/>
        </w:rPr>
      </w:pPr>
      <w:r>
        <w:rPr>
          <w:szCs w:val="21"/>
        </w:rPr>
        <w:t>[B</w:t>
      </w:r>
      <w:r>
        <w:rPr>
          <w:rFonts w:hint="eastAsia"/>
          <w:szCs w:val="21"/>
        </w:rPr>
        <w:t>风险权重</w:t>
      </w:r>
      <w:r>
        <w:rPr>
          <w:szCs w:val="21"/>
        </w:rPr>
        <w:t>]：是</w:t>
      </w:r>
      <w:r>
        <w:rPr>
          <w:rFonts w:hint="eastAsia"/>
          <w:szCs w:val="21"/>
        </w:rPr>
        <w:t>[A中央交易对手]对应</w:t>
      </w:r>
      <w:r>
        <w:rPr>
          <w:szCs w:val="21"/>
        </w:rPr>
        <w:t>的风险权重。</w:t>
      </w:r>
    </w:p>
    <w:p>
      <w:pPr>
        <w:spacing w:line="440" w:lineRule="exact"/>
        <w:ind w:firstLine="420" w:firstLineChars="200"/>
        <w:rPr>
          <w:szCs w:val="21"/>
        </w:rPr>
      </w:pPr>
      <w:r>
        <w:rPr>
          <w:rFonts w:hint="eastAsia"/>
          <w:szCs w:val="21"/>
        </w:rPr>
        <w:t>[C名义本金/缓释前风险暴露]：对于与中央交易对手交易的衍生产品填报名义本金，对于与中央交易对手交易的证券融资交易填报缓释前风险暴露。</w:t>
      </w:r>
    </w:p>
    <w:p>
      <w:pPr>
        <w:spacing w:line="440" w:lineRule="exact"/>
        <w:ind w:firstLine="420" w:firstLineChars="200"/>
        <w:rPr>
          <w:szCs w:val="21"/>
        </w:rPr>
      </w:pPr>
      <w:r>
        <w:rPr>
          <w:rFonts w:hint="eastAsia"/>
          <w:szCs w:val="21"/>
        </w:rPr>
        <w:t>[D交易风险暴露]：对于与中央交易对手交易的衍生产品和证券融资交易，填报对应的风险暴露。衍生产品和证券融资交易的交易风险敞口的计量分别与其非中央交易对手风险敞口计量方法相同。</w:t>
      </w:r>
    </w:p>
    <w:p>
      <w:pPr>
        <w:spacing w:line="440" w:lineRule="exact"/>
        <w:ind w:firstLine="420" w:firstLineChars="200"/>
        <w:rPr>
          <w:szCs w:val="21"/>
        </w:rPr>
      </w:pPr>
      <w:r>
        <w:rPr>
          <w:rFonts w:hint="eastAsia"/>
          <w:szCs w:val="21"/>
        </w:rPr>
        <w:t>[E违约基金风险暴露]：向合格中央交易对手交纳的违约基金数额。</w:t>
      </w:r>
    </w:p>
    <w:p>
      <w:pPr>
        <w:spacing w:line="440" w:lineRule="exact"/>
        <w:ind w:firstLine="420" w:firstLineChars="200"/>
        <w:rPr>
          <w:rFonts w:ascii="宋体" w:hAnsi="宋体" w:cs="宋体"/>
          <w:szCs w:val="21"/>
        </w:rPr>
      </w:pPr>
      <w:r>
        <w:rPr>
          <w:rFonts w:hint="eastAsia"/>
          <w:szCs w:val="21"/>
        </w:rPr>
        <w:t>[F对中央交易对手违约基金风险资本(Kccp)]：</w:t>
      </w:r>
      <w:r>
        <w:rPr>
          <w:rFonts w:hint="eastAsia" w:ascii="宋体" w:hAnsi="宋体" w:cs="宋体"/>
          <w:szCs w:val="21"/>
        </w:rPr>
        <w:t>取对应合格中央交易对手报告期披露的违约基金风险资本。</w:t>
      </w:r>
    </w:p>
    <w:p>
      <w:pPr>
        <w:spacing w:line="440" w:lineRule="exact"/>
        <w:ind w:firstLine="420" w:firstLineChars="200"/>
        <w:rPr>
          <w:szCs w:val="21"/>
        </w:rPr>
      </w:pPr>
      <w:r>
        <w:rPr>
          <w:szCs w:val="21"/>
        </w:rPr>
        <w:t>[</w:t>
      </w:r>
      <w:r>
        <w:rPr>
          <w:rFonts w:hint="eastAsia"/>
          <w:szCs w:val="21"/>
        </w:rPr>
        <w:t>G</w:t>
      </w:r>
      <w:r>
        <w:rPr>
          <w:rFonts w:hint="eastAsia" w:ascii="宋体" w:hAnsi="宋体" w:cs="宋体"/>
          <w:szCs w:val="21"/>
        </w:rPr>
        <w:t>清算会员的违约基金风险资本</w:t>
      </w:r>
      <w:r>
        <w:rPr>
          <w:szCs w:val="21"/>
        </w:rPr>
        <w:t>(Kcm)]</w:t>
      </w:r>
      <w:r>
        <w:rPr>
          <w:rFonts w:hint="eastAsia" w:ascii="宋体" w:hAnsi="宋体" w:cs="宋体"/>
          <w:szCs w:val="21"/>
        </w:rPr>
        <w:t>：计算清算会员的资本要求。如果清算会员缴纳的违约基金已按产品类型隔离，则应分类计量。具体计量见上述公式</w:t>
      </w:r>
      <w:r>
        <w:rPr>
          <w:rFonts w:hint="eastAsia"/>
          <w:szCs w:val="21"/>
        </w:rPr>
        <w:t>Kcm。</w:t>
      </w:r>
    </w:p>
    <w:p>
      <w:pPr>
        <w:spacing w:line="440" w:lineRule="exact"/>
        <w:ind w:firstLine="420" w:firstLineChars="200"/>
        <w:rPr>
          <w:szCs w:val="21"/>
        </w:rPr>
      </w:pPr>
      <w:r>
        <w:rPr>
          <w:szCs w:val="21"/>
        </w:rPr>
        <w:t>[</w:t>
      </w:r>
      <w:r>
        <w:rPr>
          <w:rFonts w:hint="eastAsia"/>
          <w:szCs w:val="21"/>
        </w:rPr>
        <w:t>H</w:t>
      </w:r>
      <w:r>
        <w:rPr>
          <w:szCs w:val="21"/>
        </w:rPr>
        <w:t>风险加权资产]：是指填报机构</w:t>
      </w:r>
      <w:r>
        <w:rPr>
          <w:rFonts w:hint="eastAsia"/>
          <w:szCs w:val="21"/>
        </w:rPr>
        <w:t>合格中央交易对手</w:t>
      </w:r>
      <w:r>
        <w:rPr>
          <w:szCs w:val="21"/>
        </w:rPr>
        <w:t>的风险加权资产。</w:t>
      </w:r>
      <w:r>
        <w:rPr>
          <w:rFonts w:hint="eastAsia"/>
          <w:szCs w:val="21"/>
        </w:rPr>
        <w:t>包括两部分：一是交易风险暴露乘以对应的中央交易对手权重，二是清算会员违约基金风</w:t>
      </w:r>
      <w:r>
        <w:rPr>
          <w:rFonts w:hint="eastAsia" w:ascii="宋体" w:hAnsi="宋体" w:cs="宋体"/>
          <w:szCs w:val="21"/>
        </w:rPr>
        <w:t>险。商业银行对合格中央交易对手风险暴露资本要求的上限为不合格中央交易对手所有风险暴露的资本计提要求。</w:t>
      </w:r>
      <w:r>
        <w:rPr>
          <w:szCs w:val="21"/>
        </w:rPr>
        <w:t>[</w:t>
      </w:r>
      <w:r>
        <w:rPr>
          <w:rFonts w:hint="eastAsia"/>
          <w:szCs w:val="21"/>
        </w:rPr>
        <w:t>H</w:t>
      </w:r>
      <w:r>
        <w:rPr>
          <w:szCs w:val="21"/>
        </w:rPr>
        <w:t xml:space="preserve">风险加权资产]= </w:t>
      </w:r>
      <w:r>
        <w:rPr>
          <w:rFonts w:hint="eastAsia"/>
          <w:szCs w:val="21"/>
        </w:rPr>
        <w:t>min{(</w:t>
      </w:r>
      <w:r>
        <w:rPr>
          <w:szCs w:val="21"/>
        </w:rPr>
        <w:t>[</w:t>
      </w:r>
      <w:r>
        <w:rPr>
          <w:rFonts w:hint="eastAsia"/>
          <w:szCs w:val="21"/>
        </w:rPr>
        <w:t>D交易</w:t>
      </w:r>
      <w:r>
        <w:rPr>
          <w:szCs w:val="21"/>
        </w:rPr>
        <w:t>风险暴露]×[</w:t>
      </w:r>
      <w:r>
        <w:rPr>
          <w:rFonts w:hint="eastAsia"/>
          <w:szCs w:val="21"/>
        </w:rPr>
        <w:t>B</w:t>
      </w:r>
      <w:r>
        <w:rPr>
          <w:szCs w:val="21"/>
        </w:rPr>
        <w:t>风险权重]</w:t>
      </w:r>
      <w:r>
        <w:rPr>
          <w:rFonts w:hint="eastAsia"/>
          <w:szCs w:val="21"/>
        </w:rPr>
        <w:t>+</w:t>
      </w:r>
      <w:r>
        <w:rPr>
          <w:szCs w:val="21"/>
        </w:rPr>
        <w:t>[</w:t>
      </w:r>
      <w:r>
        <w:rPr>
          <w:rFonts w:hint="eastAsia"/>
          <w:szCs w:val="21"/>
        </w:rPr>
        <w:t>G</w:t>
      </w:r>
      <w:r>
        <w:rPr>
          <w:rFonts w:hint="eastAsia" w:ascii="宋体" w:hAnsi="宋体" w:cs="宋体"/>
          <w:szCs w:val="21"/>
        </w:rPr>
        <w:t>清算会员的违约基金风险资本</w:t>
      </w:r>
      <w:r>
        <w:rPr>
          <w:szCs w:val="21"/>
        </w:rPr>
        <w:t>(Kcm)]×</w:t>
      </w:r>
      <w:r>
        <w:rPr>
          <w:rFonts w:hint="eastAsia"/>
          <w:szCs w:val="21"/>
        </w:rPr>
        <w:t>12.5),(</w:t>
      </w:r>
      <w:r>
        <w:rPr>
          <w:szCs w:val="21"/>
        </w:rPr>
        <w:t>[</w:t>
      </w:r>
      <w:r>
        <w:rPr>
          <w:rFonts w:hint="eastAsia"/>
          <w:szCs w:val="21"/>
        </w:rPr>
        <w:t>D交易</w:t>
      </w:r>
      <w:r>
        <w:rPr>
          <w:szCs w:val="21"/>
        </w:rPr>
        <w:t>风险暴露]×</w:t>
      </w:r>
      <w:r>
        <w:rPr>
          <w:rFonts w:hint="eastAsia"/>
          <w:szCs w:val="21"/>
        </w:rPr>
        <w:t>100%</w:t>
      </w:r>
      <w:r>
        <w:rPr>
          <w:szCs w:val="21"/>
        </w:rPr>
        <w:t>+[E</w:t>
      </w:r>
      <w:r>
        <w:rPr>
          <w:rFonts w:hint="eastAsia"/>
          <w:szCs w:val="21"/>
        </w:rPr>
        <w:t>违约基金风险暴露</w:t>
      </w:r>
      <w:r>
        <w:rPr>
          <w:szCs w:val="21"/>
        </w:rPr>
        <w:t>] ×</w:t>
      </w:r>
      <w:r>
        <w:rPr>
          <w:rFonts w:hint="eastAsia"/>
          <w:szCs w:val="21"/>
        </w:rPr>
        <w:t>12.5)}</w:t>
      </w:r>
      <w:r>
        <w:rPr>
          <w:szCs w:val="21"/>
        </w:rPr>
        <w:t>。</w:t>
      </w:r>
    </w:p>
    <w:p>
      <w:pPr>
        <w:tabs>
          <w:tab w:val="left" w:pos="4111"/>
        </w:tabs>
        <w:spacing w:line="440" w:lineRule="exact"/>
        <w:ind w:firstLine="420" w:firstLineChars="200"/>
        <w:rPr>
          <w:rFonts w:ascii="宋体" w:hAnsi="宋体" w:cs="宋体"/>
          <w:szCs w:val="21"/>
        </w:rPr>
      </w:pPr>
      <w:r>
        <w:rPr>
          <w:rFonts w:ascii="宋体" w:hAnsi="宋体" w:cs="宋体"/>
          <w:szCs w:val="21"/>
        </w:rPr>
        <w:t>2</w:t>
      </w:r>
      <w:r>
        <w:rPr>
          <w:rFonts w:hint="eastAsia" w:ascii="宋体" w:hAnsi="宋体" w:cs="宋体"/>
          <w:szCs w:val="21"/>
        </w:rPr>
        <w:t>.不合格中央交易对手部分</w:t>
      </w:r>
    </w:p>
    <w:p>
      <w:pPr>
        <w:spacing w:line="440" w:lineRule="exact"/>
        <w:ind w:firstLine="420" w:firstLineChars="200"/>
        <w:rPr>
          <w:szCs w:val="21"/>
        </w:rPr>
      </w:pPr>
      <w:r>
        <w:rPr>
          <w:szCs w:val="21"/>
        </w:rPr>
        <w:t>[A</w:t>
      </w:r>
      <w:r>
        <w:rPr>
          <w:rFonts w:hint="eastAsia"/>
          <w:szCs w:val="21"/>
        </w:rPr>
        <w:t>中央</w:t>
      </w:r>
      <w:r>
        <w:rPr>
          <w:szCs w:val="21"/>
        </w:rPr>
        <w:t>交易对手]：是指填报机构，按户计算</w:t>
      </w:r>
      <w:r>
        <w:rPr>
          <w:rFonts w:hint="eastAsia"/>
          <w:szCs w:val="21"/>
        </w:rPr>
        <w:t>和填报</w:t>
      </w:r>
      <w:r>
        <w:rPr>
          <w:szCs w:val="21"/>
        </w:rPr>
        <w:t>每个</w:t>
      </w:r>
      <w:r>
        <w:rPr>
          <w:rFonts w:hint="eastAsia"/>
          <w:szCs w:val="21"/>
        </w:rPr>
        <w:t>不合格中央</w:t>
      </w:r>
      <w:r>
        <w:rPr>
          <w:szCs w:val="21"/>
        </w:rPr>
        <w:t>交易对手的全称。</w:t>
      </w:r>
    </w:p>
    <w:p>
      <w:pPr>
        <w:spacing w:line="440" w:lineRule="exact"/>
        <w:ind w:firstLine="420" w:firstLineChars="200"/>
        <w:rPr>
          <w:szCs w:val="21"/>
        </w:rPr>
      </w:pPr>
      <w:r>
        <w:rPr>
          <w:szCs w:val="21"/>
        </w:rPr>
        <w:t>[B</w:t>
      </w:r>
      <w:r>
        <w:rPr>
          <w:rFonts w:hint="eastAsia"/>
          <w:szCs w:val="21"/>
        </w:rPr>
        <w:t>风险权重</w:t>
      </w:r>
      <w:r>
        <w:rPr>
          <w:szCs w:val="21"/>
        </w:rPr>
        <w:t>]：是</w:t>
      </w:r>
      <w:r>
        <w:rPr>
          <w:rFonts w:hint="eastAsia"/>
          <w:szCs w:val="21"/>
        </w:rPr>
        <w:t>[A中央交易对手]对应</w:t>
      </w:r>
      <w:r>
        <w:rPr>
          <w:szCs w:val="21"/>
        </w:rPr>
        <w:t>的风险权重。</w:t>
      </w:r>
    </w:p>
    <w:p>
      <w:pPr>
        <w:spacing w:line="440" w:lineRule="exact"/>
        <w:ind w:firstLine="420" w:firstLineChars="200"/>
        <w:rPr>
          <w:szCs w:val="21"/>
        </w:rPr>
      </w:pPr>
      <w:r>
        <w:rPr>
          <w:rFonts w:hint="eastAsia"/>
          <w:szCs w:val="21"/>
        </w:rPr>
        <w:t>[C名义本金/缓释前风险暴露]：对于与中央交易对手交易的衍生产品填报名义本金，对于与中央交易对手交易的证券融资交易填报缓释前风险暴露。</w:t>
      </w:r>
    </w:p>
    <w:p>
      <w:pPr>
        <w:spacing w:line="440" w:lineRule="exact"/>
        <w:ind w:firstLine="420" w:firstLineChars="200"/>
        <w:rPr>
          <w:szCs w:val="21"/>
        </w:rPr>
      </w:pPr>
      <w:r>
        <w:rPr>
          <w:rFonts w:hint="eastAsia"/>
          <w:szCs w:val="21"/>
        </w:rPr>
        <w:t>[D交易风险暴露]：对于与中央交易对手交易的衍生产品和证券融资交易，填报对应的风险暴露。衍生产品和证券融资交易的交易风险敞口的计量分别与其非中央交易对手风险敞口计量方法相同。</w:t>
      </w:r>
    </w:p>
    <w:p>
      <w:pPr>
        <w:spacing w:line="440" w:lineRule="exact"/>
        <w:ind w:firstLine="420" w:firstLineChars="200"/>
        <w:rPr>
          <w:szCs w:val="21"/>
        </w:rPr>
      </w:pPr>
      <w:r>
        <w:rPr>
          <w:rFonts w:hint="eastAsia"/>
          <w:szCs w:val="21"/>
        </w:rPr>
        <w:t>[E违约基金风险暴露]：向不合格中央交易对手交纳的违约基金数额。</w:t>
      </w:r>
    </w:p>
    <w:p>
      <w:pPr>
        <w:spacing w:line="440" w:lineRule="exact"/>
        <w:ind w:firstLine="420" w:firstLineChars="200"/>
        <w:rPr>
          <w:szCs w:val="21"/>
        </w:rPr>
      </w:pPr>
      <w:r>
        <w:rPr>
          <w:szCs w:val="21"/>
        </w:rPr>
        <w:t>[F风险加权资产]：是指填报机构</w:t>
      </w:r>
      <w:r>
        <w:rPr>
          <w:rFonts w:hint="eastAsia"/>
          <w:szCs w:val="21"/>
        </w:rPr>
        <w:t>不合格中央交易对手</w:t>
      </w:r>
      <w:r>
        <w:rPr>
          <w:szCs w:val="21"/>
        </w:rPr>
        <w:t>的风险加权资产。</w:t>
      </w:r>
      <w:r>
        <w:rPr>
          <w:rFonts w:hint="eastAsia"/>
          <w:szCs w:val="21"/>
        </w:rPr>
        <w:t>包括两部分：一是交易风险暴露乘以对应的中央交易对手权重，二是清算会员违约基金风</w:t>
      </w:r>
      <w:r>
        <w:rPr>
          <w:rFonts w:hint="eastAsia" w:ascii="宋体" w:hAnsi="宋体" w:cs="宋体"/>
          <w:szCs w:val="21"/>
        </w:rPr>
        <w:t>险。</w:t>
      </w:r>
      <w:r>
        <w:rPr>
          <w:szCs w:val="21"/>
        </w:rPr>
        <w:t xml:space="preserve"> [F风险加权资产]=[</w:t>
      </w:r>
      <w:r>
        <w:rPr>
          <w:rFonts w:hint="eastAsia"/>
          <w:szCs w:val="21"/>
        </w:rPr>
        <w:t>D交易</w:t>
      </w:r>
      <w:r>
        <w:rPr>
          <w:szCs w:val="21"/>
        </w:rPr>
        <w:t>风险暴露]×[</w:t>
      </w:r>
      <w:r>
        <w:rPr>
          <w:rFonts w:hint="eastAsia"/>
          <w:szCs w:val="21"/>
        </w:rPr>
        <w:t>B</w:t>
      </w:r>
      <w:r>
        <w:rPr>
          <w:szCs w:val="21"/>
        </w:rPr>
        <w:t>风险权重] +[E</w:t>
      </w:r>
      <w:r>
        <w:rPr>
          <w:rFonts w:hint="eastAsia"/>
          <w:szCs w:val="21"/>
        </w:rPr>
        <w:t>违约基金风险暴露</w:t>
      </w:r>
      <w:r>
        <w:rPr>
          <w:szCs w:val="21"/>
        </w:rPr>
        <w:t>] ×</w:t>
      </w:r>
      <w:r>
        <w:rPr>
          <w:rFonts w:hint="eastAsia"/>
          <w:szCs w:val="21"/>
        </w:rPr>
        <w:t>12.5</w:t>
      </w:r>
      <w:r>
        <w:rPr>
          <w:szCs w:val="21"/>
        </w:rPr>
        <w:t>。</w:t>
      </w:r>
    </w:p>
    <w:p>
      <w:pPr>
        <w:spacing w:line="440" w:lineRule="exact"/>
        <w:rPr>
          <w:b/>
          <w:szCs w:val="21"/>
        </w:rPr>
      </w:pPr>
      <w:r>
        <w:rPr>
          <w:rFonts w:hint="eastAsia"/>
          <w:b/>
          <w:szCs w:val="21"/>
        </w:rPr>
        <w:t>第四部分：其他说明</w:t>
      </w:r>
    </w:p>
    <w:p>
      <w:pPr>
        <w:spacing w:line="440" w:lineRule="exact"/>
        <w:ind w:firstLine="420" w:firstLineChars="200"/>
        <w:rPr>
          <w:b/>
          <w:szCs w:val="21"/>
        </w:rPr>
      </w:pPr>
      <w:r>
        <w:rPr>
          <w:rFonts w:hint="eastAsia" w:ascii="宋体" w:hAnsi="宋体"/>
          <w:color w:val="0D0D0D"/>
          <w:szCs w:val="21"/>
        </w:rPr>
        <w:t>除第二部分规定的折算汇率计算方法外，填报机构也可选取报告期末某一固定时点的市场实际交易价格作为折算汇率。</w:t>
      </w:r>
    </w:p>
    <w:p>
      <w:pPr>
        <w:spacing w:line="440" w:lineRule="exact"/>
        <w:rPr>
          <w:b/>
          <w:bCs/>
          <w:szCs w:val="21"/>
        </w:rPr>
      </w:pPr>
      <w:r>
        <w:rPr>
          <w:b/>
          <w:bCs/>
          <w:szCs w:val="21"/>
        </w:rPr>
        <w:t>第</w:t>
      </w:r>
      <w:r>
        <w:rPr>
          <w:rFonts w:hint="eastAsia"/>
          <w:b/>
          <w:bCs/>
          <w:szCs w:val="21"/>
        </w:rPr>
        <w:t>五</w:t>
      </w:r>
      <w:r>
        <w:rPr>
          <w:b/>
          <w:bCs/>
          <w:szCs w:val="21"/>
        </w:rPr>
        <w:t>部分：核对关系</w:t>
      </w:r>
    </w:p>
    <w:p>
      <w:pPr>
        <w:spacing w:line="440" w:lineRule="exact"/>
        <w:ind w:firstLine="413" w:firstLineChars="196"/>
        <w:rPr>
          <w:b/>
        </w:rPr>
      </w:pPr>
      <w:r>
        <w:rPr>
          <w:rFonts w:hint="eastAsia"/>
          <w:b/>
        </w:rPr>
        <w:t>1</w:t>
      </w:r>
      <w:r>
        <w:rPr>
          <w:b/>
        </w:rPr>
        <w:t>.</w:t>
      </w:r>
      <w:r>
        <w:rPr>
          <w:rFonts w:hint="eastAsia"/>
          <w:b/>
        </w:rPr>
        <w:t>表内核对关系</w:t>
      </w:r>
    </w:p>
    <w:p>
      <w:pPr>
        <w:spacing w:line="440" w:lineRule="exact"/>
        <w:ind w:firstLine="413" w:firstLineChars="196"/>
        <w:rPr>
          <w:b/>
        </w:rPr>
      </w:pPr>
      <w:r>
        <w:rPr>
          <w:b/>
        </w:rPr>
        <w:t>第Ⅱ部分：</w:t>
      </w:r>
      <w:r>
        <w:rPr>
          <w:rFonts w:hint="eastAsia"/>
          <w:b/>
        </w:rPr>
        <w:t>中央</w:t>
      </w:r>
      <w:r>
        <w:rPr>
          <w:b/>
        </w:rPr>
        <w:t>交易</w:t>
      </w:r>
      <w:r>
        <w:rPr>
          <w:rFonts w:hint="eastAsia"/>
          <w:b/>
        </w:rPr>
        <w:t>对手</w:t>
      </w:r>
      <w:r>
        <w:rPr>
          <w:b/>
        </w:rPr>
        <w:t>表</w:t>
      </w:r>
    </w:p>
    <w:p>
      <w:pPr>
        <w:spacing w:line="440" w:lineRule="exact"/>
        <w:ind w:firstLine="411" w:firstLineChars="196"/>
      </w:pPr>
      <w:r>
        <w:rPr>
          <w:rFonts w:hint="eastAsia"/>
        </w:rPr>
        <w:t>（1）合格中央交易对手部分</w:t>
      </w:r>
    </w:p>
    <w:p>
      <w:pPr>
        <w:spacing w:line="440" w:lineRule="exact"/>
        <w:ind w:firstLine="411" w:firstLineChars="196"/>
        <w:rPr>
          <w:szCs w:val="21"/>
        </w:rPr>
      </w:pPr>
      <w:r>
        <w:t>[</w:t>
      </w:r>
      <w:r>
        <w:rPr>
          <w:rFonts w:hint="eastAsia"/>
        </w:rPr>
        <w:t>H</w:t>
      </w:r>
      <w:r>
        <w:t>]=</w:t>
      </w:r>
      <w:r>
        <w:rPr>
          <w:rFonts w:hint="eastAsia"/>
        </w:rPr>
        <w:t>min{(</w:t>
      </w:r>
      <w:r>
        <w:t>[</w:t>
      </w:r>
      <w:r>
        <w:rPr>
          <w:rFonts w:hint="eastAsia"/>
        </w:rPr>
        <w:t>D</w:t>
      </w:r>
      <w:r>
        <w:t>]</w:t>
      </w:r>
      <w:r>
        <w:rPr>
          <w:szCs w:val="21"/>
        </w:rPr>
        <w:t>×[</w:t>
      </w:r>
      <w:r>
        <w:rPr>
          <w:rFonts w:hint="eastAsia"/>
          <w:szCs w:val="21"/>
        </w:rPr>
        <w:t>B</w:t>
      </w:r>
      <w:r>
        <w:rPr>
          <w:szCs w:val="21"/>
        </w:rPr>
        <w:t>]</w:t>
      </w:r>
      <w:r>
        <w:rPr>
          <w:rFonts w:hint="eastAsia"/>
          <w:szCs w:val="21"/>
        </w:rPr>
        <w:t>+[G]</w:t>
      </w:r>
      <w:r>
        <w:rPr>
          <w:szCs w:val="21"/>
        </w:rPr>
        <w:t>×</w:t>
      </w:r>
      <w:r>
        <w:rPr>
          <w:rFonts w:hint="eastAsia"/>
          <w:szCs w:val="21"/>
        </w:rPr>
        <w:t>12.5)，([D]</w:t>
      </w:r>
      <w:r>
        <w:rPr>
          <w:szCs w:val="21"/>
        </w:rPr>
        <w:t>×</w:t>
      </w:r>
      <w:r>
        <w:rPr>
          <w:rFonts w:hint="eastAsia"/>
          <w:szCs w:val="21"/>
        </w:rPr>
        <w:t>100%+[E]</w:t>
      </w:r>
      <w:r>
        <w:rPr>
          <w:szCs w:val="21"/>
        </w:rPr>
        <w:t>×</w:t>
      </w:r>
      <w:r>
        <w:rPr>
          <w:rFonts w:hint="eastAsia"/>
          <w:szCs w:val="21"/>
        </w:rPr>
        <w:t>12.5</w:t>
      </w:r>
      <w:r>
        <w:rPr>
          <w:szCs w:val="21"/>
        </w:rPr>
        <w:t>)</w:t>
      </w:r>
      <w:r>
        <w:rPr>
          <w:rFonts w:hint="eastAsia"/>
          <w:szCs w:val="21"/>
        </w:rPr>
        <w:t>}，适用1</w:t>
      </w:r>
      <w:r>
        <w:rPr>
          <w:szCs w:val="21"/>
        </w:rPr>
        <w:t>~</w:t>
      </w:r>
      <w:r>
        <w:rPr>
          <w:rFonts w:hint="eastAsia"/>
          <w:szCs w:val="21"/>
        </w:rPr>
        <w:t>n行</w:t>
      </w:r>
    </w:p>
    <w:p>
      <w:pPr>
        <w:spacing w:line="440" w:lineRule="exact"/>
        <w:ind w:firstLine="411" w:firstLineChars="196"/>
        <w:rPr>
          <w:rFonts w:ascii="宋体" w:hAnsi="宋体"/>
          <w:szCs w:val="21"/>
        </w:rPr>
      </w:pPr>
      <w:r>
        <w:rPr>
          <w:rFonts w:hint="eastAsia"/>
          <w:szCs w:val="21"/>
        </w:rPr>
        <w:t>合计</w:t>
      </w:r>
      <w:r>
        <w:rPr>
          <w:rFonts w:hint="eastAsia" w:ascii="宋体" w:hAnsi="宋体"/>
          <w:szCs w:val="21"/>
        </w:rPr>
        <w:t>=∑1+2+···+n，适用于C、D、E、F、G、H列</w:t>
      </w:r>
    </w:p>
    <w:p>
      <w:pPr>
        <w:spacing w:line="440" w:lineRule="exact"/>
        <w:ind w:firstLine="411" w:firstLineChars="196"/>
      </w:pPr>
      <w:r>
        <w:rPr>
          <w:rFonts w:hint="eastAsia"/>
        </w:rPr>
        <w:t>（2）不合格中央交易对手部分</w:t>
      </w:r>
    </w:p>
    <w:p>
      <w:pPr>
        <w:spacing w:line="440" w:lineRule="exact"/>
        <w:ind w:firstLine="411" w:firstLineChars="196"/>
        <w:rPr>
          <w:szCs w:val="21"/>
        </w:rPr>
      </w:pPr>
      <w:r>
        <w:t>[F]=[</w:t>
      </w:r>
      <w:r>
        <w:rPr>
          <w:rFonts w:hint="eastAsia"/>
        </w:rPr>
        <w:t>D</w:t>
      </w:r>
      <w:r>
        <w:t>]</w:t>
      </w:r>
      <w:r>
        <w:rPr>
          <w:szCs w:val="21"/>
        </w:rPr>
        <w:t>×[</w:t>
      </w:r>
      <w:r>
        <w:rPr>
          <w:rFonts w:hint="eastAsia"/>
          <w:szCs w:val="21"/>
        </w:rPr>
        <w:t>B</w:t>
      </w:r>
      <w:r>
        <w:rPr>
          <w:szCs w:val="21"/>
        </w:rPr>
        <w:t>]</w:t>
      </w:r>
      <w:r>
        <w:rPr>
          <w:rFonts w:hint="eastAsia"/>
          <w:szCs w:val="21"/>
        </w:rPr>
        <w:t>+[E]</w:t>
      </w:r>
      <w:r>
        <w:rPr>
          <w:szCs w:val="21"/>
        </w:rPr>
        <w:t>×</w:t>
      </w:r>
      <w:r>
        <w:rPr>
          <w:rFonts w:hint="eastAsia"/>
          <w:szCs w:val="21"/>
        </w:rPr>
        <w:t>12.5，适用1</w:t>
      </w:r>
      <w:r>
        <w:rPr>
          <w:szCs w:val="21"/>
        </w:rPr>
        <w:t>~</w:t>
      </w:r>
      <w:r>
        <w:rPr>
          <w:rFonts w:hint="eastAsia"/>
          <w:szCs w:val="21"/>
        </w:rPr>
        <w:t>n行</w:t>
      </w:r>
    </w:p>
    <w:p>
      <w:pPr>
        <w:spacing w:line="440" w:lineRule="exact"/>
        <w:ind w:firstLine="411" w:firstLineChars="196"/>
        <w:rPr>
          <w:rFonts w:ascii="宋体" w:hAnsi="宋体"/>
          <w:szCs w:val="21"/>
        </w:rPr>
      </w:pPr>
      <w:r>
        <w:rPr>
          <w:rFonts w:hint="eastAsia"/>
          <w:szCs w:val="21"/>
        </w:rPr>
        <w:t>合计</w:t>
      </w:r>
      <w:r>
        <w:rPr>
          <w:rFonts w:hint="eastAsia" w:ascii="宋体" w:hAnsi="宋体"/>
          <w:szCs w:val="21"/>
        </w:rPr>
        <w:t>=∑1+2+···+n，适用于C、D、E、F列</w:t>
      </w:r>
    </w:p>
    <w:p>
      <w:pPr>
        <w:pStyle w:val="47"/>
        <w:spacing w:line="440" w:lineRule="exact"/>
        <w:jc w:val="both"/>
      </w:pPr>
    </w:p>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Consolas">
    <w:altName w:val="Noto Sans Mono"/>
    <w:panose1 w:val="020B0609020204030204"/>
    <w:charset w:val="00"/>
    <w:family w:val="modern"/>
    <w:pitch w:val="default"/>
    <w:sig w:usb0="00000000" w:usb1="00000000" w:usb2="00000001" w:usb3="00000000" w:csb0="0000019F" w:csb1="00000000"/>
  </w:font>
  <w:font w:name="Noto Sans Mono">
    <w:panose1 w:val="020B0509040504020204"/>
    <w:charset w:val="00"/>
    <w:family w:val="auto"/>
    <w:pitch w:val="default"/>
    <w:sig w:usb0="E00002FF" w:usb1="4200FCFF" w:usb2="08000039" w:usb3="00100000" w:csb0="0000019F" w:csb1="DFD70000"/>
  </w:font>
  <w:font w:name="仿宋_GB2312">
    <w:panose1 w:val="02010609030101010101"/>
    <w:charset w:val="86"/>
    <w:family w:val="modern"/>
    <w:pitch w:val="default"/>
    <w:sig w:usb0="00000001" w:usb1="080E0000" w:usb2="00000000" w:usb3="00000000" w:csb0="00040000" w:csb1="00000000"/>
  </w:font>
  <w:font w:name="Verdana">
    <w:altName w:val="DejaVu Sans"/>
    <w:panose1 w:val="020B0604030504040204"/>
    <w:charset w:val="00"/>
    <w:family w:val="swiss"/>
    <w:pitch w:val="default"/>
    <w:sig w:usb0="00000000" w:usb1="00000000" w:usb2="00000010" w:usb3="00000000" w:csb0="0000019F" w:csb1="00000000"/>
  </w:font>
  <w:font w:name="MS Mincho">
    <w:altName w:val="宋体"/>
    <w:panose1 w:val="02020609040205080304"/>
    <w:charset w:val="80"/>
    <w:family w:val="modern"/>
    <w:pitch w:val="default"/>
    <w:sig w:usb0="00000000" w:usb1="00000000" w:usb2="08000012" w:usb3="00000000" w:csb0="0002009F" w:csb1="00000000"/>
  </w:font>
  <w:font w:name="Cambria Math">
    <w:altName w:val="DejaVu Math TeX Gyre"/>
    <w:panose1 w:val="02040503050406030204"/>
    <w:charset w:val="00"/>
    <w:family w:val="roman"/>
    <w:pitch w:val="default"/>
    <w:sig w:usb0="00000000" w:usb1="00000000" w:usb2="02000000" w:usb3="00000000" w:csb0="0000019F" w:csb1="00000000"/>
  </w:font>
  <w:font w:name="DejaVu Math TeX Gyre">
    <w:panose1 w:val="02000503000000000000"/>
    <w:charset w:val="00"/>
    <w:family w:val="auto"/>
    <w:pitch w:val="default"/>
    <w:sig w:usb0="A10000EF" w:usb1="4201F9EE" w:usb2="02000000" w:usb3="00000000" w:csb0="60000193" w:csb1="0DD40000"/>
  </w:font>
  <w:font w:name="微软雅黑">
    <w:altName w:val="黑体"/>
    <w:panose1 w:val="00000000000000000000"/>
    <w:charset w:val="00"/>
    <w:family w:val="auto"/>
    <w:pitch w:val="default"/>
    <w:sig w:usb0="00000000" w:usb1="00000000" w:usb2="00000000" w:usb3="00000000" w:csb0="00000000" w:csb1="00000000"/>
  </w:font>
  <w:font w:name="Tahoma">
    <w:altName w:val="DejaVu San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framePr w:wrap="around" w:vAnchor="text" w:hAnchor="margin" w:xAlign="center" w:y="1"/>
      <w:rPr>
        <w:rStyle w:val="23"/>
      </w:rPr>
    </w:pPr>
    <w:r>
      <w:fldChar w:fldCharType="begin"/>
    </w:r>
    <w:r>
      <w:rPr>
        <w:rStyle w:val="23"/>
      </w:rPr>
      <w:instrText xml:space="preserve">PAGE  </w:instrText>
    </w:r>
    <w:r>
      <w:fldChar w:fldCharType="separate"/>
    </w:r>
    <w:r>
      <w:rPr>
        <w:rStyle w:val="23"/>
      </w:rPr>
      <w:t>1</w:t>
    </w:r>
    <w:r>
      <w:fldChar w:fldCharType="end"/>
    </w:r>
  </w:p>
  <w:p>
    <w:pPr>
      <w:pStyle w:val="16"/>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4DE254"/>
    <w:multiLevelType w:val="singleLevel"/>
    <w:tmpl w:val="834DE254"/>
    <w:lvl w:ilvl="0" w:tentative="0">
      <w:start w:val="5"/>
      <w:numFmt w:val="decimal"/>
      <w:suff w:val="nothing"/>
      <w:lvlText w:val="（%1）"/>
      <w:lvlJc w:val="left"/>
    </w:lvl>
  </w:abstractNum>
  <w:abstractNum w:abstractNumId="1">
    <w:nsid w:val="678C1B32"/>
    <w:multiLevelType w:val="singleLevel"/>
    <w:tmpl w:val="678C1B32"/>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RkZTUwZDg4OGNlMmFiY2NmMGY3MjY4MWFhMmM1YjIifQ=="/>
  </w:docVars>
  <w:rsids>
    <w:rsidRoot w:val="00F00ECD"/>
    <w:rsid w:val="00021CAB"/>
    <w:rsid w:val="000B4044"/>
    <w:rsid w:val="000B6778"/>
    <w:rsid w:val="000B7352"/>
    <w:rsid w:val="000C2556"/>
    <w:rsid w:val="000C3446"/>
    <w:rsid w:val="000F3F31"/>
    <w:rsid w:val="00113D42"/>
    <w:rsid w:val="00126EC9"/>
    <w:rsid w:val="00131538"/>
    <w:rsid w:val="00156DA0"/>
    <w:rsid w:val="001A200E"/>
    <w:rsid w:val="001C3178"/>
    <w:rsid w:val="00261E17"/>
    <w:rsid w:val="00263DCB"/>
    <w:rsid w:val="00276D52"/>
    <w:rsid w:val="002C1E5F"/>
    <w:rsid w:val="00306F97"/>
    <w:rsid w:val="003266C5"/>
    <w:rsid w:val="00396612"/>
    <w:rsid w:val="003C4F35"/>
    <w:rsid w:val="003F16AF"/>
    <w:rsid w:val="00436B47"/>
    <w:rsid w:val="004A6D89"/>
    <w:rsid w:val="004C3B74"/>
    <w:rsid w:val="004F17DE"/>
    <w:rsid w:val="00506BFA"/>
    <w:rsid w:val="00510FD1"/>
    <w:rsid w:val="00514E48"/>
    <w:rsid w:val="005D69DF"/>
    <w:rsid w:val="005E270A"/>
    <w:rsid w:val="00603A58"/>
    <w:rsid w:val="00603C49"/>
    <w:rsid w:val="00625D67"/>
    <w:rsid w:val="00655484"/>
    <w:rsid w:val="00690CAC"/>
    <w:rsid w:val="0069106B"/>
    <w:rsid w:val="0069736E"/>
    <w:rsid w:val="006B3797"/>
    <w:rsid w:val="006B6C3C"/>
    <w:rsid w:val="007635DC"/>
    <w:rsid w:val="00766DD8"/>
    <w:rsid w:val="007B3A9F"/>
    <w:rsid w:val="007D3FED"/>
    <w:rsid w:val="007F5CCD"/>
    <w:rsid w:val="00865D0F"/>
    <w:rsid w:val="008C16C9"/>
    <w:rsid w:val="008E64C0"/>
    <w:rsid w:val="009055BA"/>
    <w:rsid w:val="00923177"/>
    <w:rsid w:val="009236C8"/>
    <w:rsid w:val="00932125"/>
    <w:rsid w:val="00936AC6"/>
    <w:rsid w:val="009507F1"/>
    <w:rsid w:val="00964372"/>
    <w:rsid w:val="009A1F1E"/>
    <w:rsid w:val="009A4250"/>
    <w:rsid w:val="009C65FC"/>
    <w:rsid w:val="009C764F"/>
    <w:rsid w:val="009C7A01"/>
    <w:rsid w:val="00A326DA"/>
    <w:rsid w:val="00A65FE9"/>
    <w:rsid w:val="00A70263"/>
    <w:rsid w:val="00AA5C56"/>
    <w:rsid w:val="00AC42CA"/>
    <w:rsid w:val="00AC4F57"/>
    <w:rsid w:val="00B075E1"/>
    <w:rsid w:val="00B075FC"/>
    <w:rsid w:val="00B87122"/>
    <w:rsid w:val="00B96E9A"/>
    <w:rsid w:val="00BB44E7"/>
    <w:rsid w:val="00BD4AA3"/>
    <w:rsid w:val="00BE5F1C"/>
    <w:rsid w:val="00C706E9"/>
    <w:rsid w:val="00C86A6A"/>
    <w:rsid w:val="00C86AAF"/>
    <w:rsid w:val="00CA070A"/>
    <w:rsid w:val="00CC2708"/>
    <w:rsid w:val="00CE0DB7"/>
    <w:rsid w:val="00D40EC0"/>
    <w:rsid w:val="00D47A06"/>
    <w:rsid w:val="00D612E8"/>
    <w:rsid w:val="00D72682"/>
    <w:rsid w:val="00D7752B"/>
    <w:rsid w:val="00DC631F"/>
    <w:rsid w:val="00E21796"/>
    <w:rsid w:val="00E31BB0"/>
    <w:rsid w:val="00E4195B"/>
    <w:rsid w:val="00E513BC"/>
    <w:rsid w:val="00E61665"/>
    <w:rsid w:val="00EA0465"/>
    <w:rsid w:val="00EF3F6D"/>
    <w:rsid w:val="00F0093F"/>
    <w:rsid w:val="00F00ECD"/>
    <w:rsid w:val="04B50872"/>
    <w:rsid w:val="0C261885"/>
    <w:rsid w:val="0E4F4BCE"/>
    <w:rsid w:val="10052D34"/>
    <w:rsid w:val="12951342"/>
    <w:rsid w:val="14E8688E"/>
    <w:rsid w:val="19C15743"/>
    <w:rsid w:val="1D0F4C10"/>
    <w:rsid w:val="1D92348D"/>
    <w:rsid w:val="2102354C"/>
    <w:rsid w:val="2D24531B"/>
    <w:rsid w:val="2F1A13C2"/>
    <w:rsid w:val="35372CF2"/>
    <w:rsid w:val="36C90821"/>
    <w:rsid w:val="38CC27A1"/>
    <w:rsid w:val="39503781"/>
    <w:rsid w:val="3A1D1F65"/>
    <w:rsid w:val="3BF9D8C6"/>
    <w:rsid w:val="3D24232A"/>
    <w:rsid w:val="3E9420ED"/>
    <w:rsid w:val="444A2F5B"/>
    <w:rsid w:val="44DB0EDA"/>
    <w:rsid w:val="473D2E15"/>
    <w:rsid w:val="47A2091E"/>
    <w:rsid w:val="48C930F1"/>
    <w:rsid w:val="4B6A2227"/>
    <w:rsid w:val="4BC12E34"/>
    <w:rsid w:val="4BF93B19"/>
    <w:rsid w:val="4C0D6701"/>
    <w:rsid w:val="4CBB1C2D"/>
    <w:rsid w:val="4D594EDB"/>
    <w:rsid w:val="4D8D22EB"/>
    <w:rsid w:val="52436765"/>
    <w:rsid w:val="54D9773D"/>
    <w:rsid w:val="56BB5497"/>
    <w:rsid w:val="5BD64473"/>
    <w:rsid w:val="5E4E4057"/>
    <w:rsid w:val="5FC046C3"/>
    <w:rsid w:val="639065C3"/>
    <w:rsid w:val="66BA4D90"/>
    <w:rsid w:val="6A621040"/>
    <w:rsid w:val="6A7A47AC"/>
    <w:rsid w:val="6D227869"/>
    <w:rsid w:val="709B2F2E"/>
    <w:rsid w:val="72C83435"/>
    <w:rsid w:val="74B656C4"/>
    <w:rsid w:val="75443BA9"/>
    <w:rsid w:val="772B12C0"/>
    <w:rsid w:val="78383007"/>
    <w:rsid w:val="7A6F101C"/>
    <w:rsid w:val="7BF976E0"/>
    <w:rsid w:val="7C28779E"/>
    <w:rsid w:val="7E5A773B"/>
    <w:rsid w:val="7EE74B0E"/>
    <w:rsid w:val="7EFF7085"/>
    <w:rsid w:val="7F91101B"/>
    <w:rsid w:val="7FDB66C0"/>
    <w:rsid w:val="7FFA1E39"/>
    <w:rsid w:val="DD32533D"/>
    <w:rsid w:val="E9FF5D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jc w:val="center"/>
      <w:outlineLvl w:val="0"/>
    </w:pPr>
    <w:rPr>
      <w:rFonts w:eastAsia="黑体"/>
      <w:b/>
      <w:sz w:val="30"/>
      <w:szCs w:val="20"/>
    </w:rPr>
  </w:style>
  <w:style w:type="paragraph" w:styleId="3">
    <w:name w:val="heading 2"/>
    <w:basedOn w:val="1"/>
    <w:next w:val="1"/>
    <w:link w:val="24"/>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3"/>
    <w:next w:val="5"/>
    <w:link w:val="25"/>
    <w:qFormat/>
    <w:uiPriority w:val="0"/>
    <w:pPr>
      <w:keepLines w:val="0"/>
      <w:widowControl/>
      <w:spacing w:before="240" w:after="120" w:line="240" w:lineRule="auto"/>
      <w:jc w:val="left"/>
      <w:outlineLvl w:val="2"/>
    </w:pPr>
    <w:rPr>
      <w:rFonts w:eastAsia="宋体"/>
      <w:bCs w:val="0"/>
      <w:i/>
      <w:sz w:val="22"/>
      <w:szCs w:val="20"/>
      <w:lang w:val="en-GB" w:eastAsia="en-US"/>
    </w:rPr>
  </w:style>
  <w:style w:type="paragraph" w:styleId="6">
    <w:name w:val="heading 4"/>
    <w:basedOn w:val="4"/>
    <w:next w:val="5"/>
    <w:link w:val="27"/>
    <w:qFormat/>
    <w:uiPriority w:val="0"/>
    <w:pPr>
      <w:spacing w:before="120"/>
      <w:outlineLvl w:val="3"/>
    </w:pPr>
  </w:style>
  <w:style w:type="paragraph" w:styleId="7">
    <w:name w:val="heading 5"/>
    <w:basedOn w:val="6"/>
    <w:next w:val="5"/>
    <w:link w:val="28"/>
    <w:qFormat/>
    <w:uiPriority w:val="0"/>
    <w:pPr>
      <w:outlineLvl w:val="4"/>
    </w:pPr>
  </w:style>
  <w:style w:type="paragraph" w:styleId="8">
    <w:name w:val="heading 6"/>
    <w:basedOn w:val="7"/>
    <w:next w:val="5"/>
    <w:link w:val="29"/>
    <w:qFormat/>
    <w:uiPriority w:val="0"/>
    <w:pPr>
      <w:outlineLvl w:val="5"/>
    </w:pPr>
  </w:style>
  <w:style w:type="paragraph" w:styleId="9">
    <w:name w:val="heading 7"/>
    <w:basedOn w:val="8"/>
    <w:next w:val="5"/>
    <w:link w:val="30"/>
    <w:qFormat/>
    <w:uiPriority w:val="0"/>
    <w:pPr>
      <w:outlineLvl w:val="6"/>
    </w:pPr>
  </w:style>
  <w:style w:type="paragraph" w:styleId="10">
    <w:name w:val="heading 8"/>
    <w:basedOn w:val="9"/>
    <w:next w:val="5"/>
    <w:link w:val="31"/>
    <w:qFormat/>
    <w:uiPriority w:val="0"/>
    <w:pPr>
      <w:outlineLvl w:val="7"/>
    </w:pPr>
  </w:style>
  <w:style w:type="paragraph" w:styleId="11">
    <w:name w:val="heading 9"/>
    <w:basedOn w:val="10"/>
    <w:next w:val="5"/>
    <w:link w:val="32"/>
    <w:qFormat/>
    <w:uiPriority w:val="0"/>
    <w:pPr>
      <w:outlineLvl w:val="8"/>
    </w:p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customStyle="1" w:styleId="5">
    <w:name w:val="Paragraph"/>
    <w:basedOn w:val="1"/>
    <w:link w:val="26"/>
    <w:qFormat/>
    <w:uiPriority w:val="0"/>
    <w:pPr>
      <w:widowControl/>
      <w:spacing w:after="240"/>
    </w:pPr>
    <w:rPr>
      <w:rFonts w:ascii="Arial" w:hAnsi="Arial"/>
      <w:kern w:val="0"/>
      <w:sz w:val="22"/>
      <w:szCs w:val="20"/>
      <w:lang w:val="en-GB" w:eastAsia="en-US"/>
    </w:rPr>
  </w:style>
  <w:style w:type="paragraph" w:styleId="12">
    <w:name w:val="annotation text"/>
    <w:basedOn w:val="1"/>
    <w:link w:val="33"/>
    <w:semiHidden/>
    <w:qFormat/>
    <w:uiPriority w:val="0"/>
    <w:pPr>
      <w:jc w:val="left"/>
    </w:pPr>
  </w:style>
  <w:style w:type="paragraph" w:styleId="13">
    <w:name w:val="Body Text"/>
    <w:basedOn w:val="1"/>
    <w:link w:val="34"/>
    <w:qFormat/>
    <w:uiPriority w:val="0"/>
    <w:pPr>
      <w:widowControl/>
      <w:spacing w:after="120"/>
      <w:jc w:val="left"/>
    </w:pPr>
    <w:rPr>
      <w:kern w:val="0"/>
      <w:sz w:val="20"/>
      <w:szCs w:val="20"/>
      <w:lang w:val="en-GB" w:eastAsia="en-US"/>
    </w:rPr>
  </w:style>
  <w:style w:type="paragraph" w:styleId="14">
    <w:name w:val="Plain Text"/>
    <w:basedOn w:val="1"/>
    <w:link w:val="35"/>
    <w:qFormat/>
    <w:uiPriority w:val="0"/>
    <w:pPr>
      <w:widowControl/>
      <w:jc w:val="left"/>
    </w:pPr>
    <w:rPr>
      <w:rFonts w:ascii="Consolas" w:hAnsi="Consolas"/>
      <w:kern w:val="0"/>
      <w:szCs w:val="21"/>
      <w:lang w:eastAsia="en-US"/>
    </w:rPr>
  </w:style>
  <w:style w:type="paragraph" w:styleId="15">
    <w:name w:val="Balloon Text"/>
    <w:basedOn w:val="1"/>
    <w:semiHidden/>
    <w:qFormat/>
    <w:uiPriority w:val="0"/>
    <w:rPr>
      <w:sz w:val="18"/>
      <w:szCs w:val="18"/>
    </w:rPr>
  </w:style>
  <w:style w:type="paragraph" w:styleId="16">
    <w:name w:val="footer"/>
    <w:basedOn w:val="1"/>
    <w:link w:val="36"/>
    <w:qFormat/>
    <w:uiPriority w:val="0"/>
    <w:pPr>
      <w:tabs>
        <w:tab w:val="center" w:pos="4153"/>
        <w:tab w:val="right" w:pos="8306"/>
      </w:tabs>
      <w:snapToGrid w:val="0"/>
      <w:jc w:val="left"/>
    </w:pPr>
    <w:rPr>
      <w:sz w:val="18"/>
      <w:szCs w:val="18"/>
    </w:rPr>
  </w:style>
  <w:style w:type="paragraph" w:styleId="17">
    <w:name w:val="header"/>
    <w:basedOn w:val="1"/>
    <w:link w:val="37"/>
    <w:qFormat/>
    <w:uiPriority w:val="0"/>
    <w:pPr>
      <w:pBdr>
        <w:bottom w:val="single" w:color="auto" w:sz="6" w:space="1"/>
      </w:pBdr>
      <w:tabs>
        <w:tab w:val="center" w:pos="4153"/>
        <w:tab w:val="right" w:pos="8306"/>
      </w:tabs>
      <w:snapToGrid w:val="0"/>
      <w:jc w:val="center"/>
    </w:pPr>
    <w:rPr>
      <w:sz w:val="18"/>
      <w:szCs w:val="18"/>
    </w:rPr>
  </w:style>
  <w:style w:type="paragraph" w:styleId="18">
    <w:name w:val="footnote text"/>
    <w:basedOn w:val="1"/>
    <w:link w:val="38"/>
    <w:qFormat/>
    <w:uiPriority w:val="0"/>
    <w:pPr>
      <w:widowControl/>
      <w:spacing w:after="120"/>
      <w:ind w:left="284" w:hanging="284"/>
    </w:pPr>
    <w:rPr>
      <w:rFonts w:ascii="Arial" w:hAnsi="Arial"/>
      <w:kern w:val="0"/>
      <w:sz w:val="18"/>
      <w:szCs w:val="20"/>
      <w:lang w:val="en-GB" w:eastAsia="en-US"/>
    </w:rPr>
  </w:style>
  <w:style w:type="paragraph" w:styleId="19">
    <w:name w:val="Normal (Web)"/>
    <w:basedOn w:val="1"/>
    <w:qFormat/>
    <w:uiPriority w:val="0"/>
    <w:pPr>
      <w:widowControl/>
      <w:spacing w:line="440" w:lineRule="exact"/>
      <w:ind w:firstLine="480" w:firstLineChars="200"/>
      <w:jc w:val="left"/>
    </w:pPr>
    <w:rPr>
      <w:rFonts w:eastAsia="仿宋_GB2312"/>
      <w:color w:val="000000"/>
      <w:kern w:val="0"/>
      <w:sz w:val="24"/>
    </w:rPr>
  </w:style>
  <w:style w:type="paragraph" w:styleId="20">
    <w:name w:val="Title"/>
    <w:basedOn w:val="1"/>
    <w:link w:val="39"/>
    <w:qFormat/>
    <w:uiPriority w:val="0"/>
    <w:pPr>
      <w:widowControl/>
      <w:spacing w:line="360" w:lineRule="auto"/>
      <w:jc w:val="center"/>
    </w:pPr>
    <w:rPr>
      <w:rFonts w:ascii="Arial" w:hAnsi="Arial"/>
      <w:b/>
      <w:kern w:val="0"/>
      <w:sz w:val="28"/>
      <w:szCs w:val="20"/>
      <w:lang w:val="de-DE" w:eastAsia="en-GB"/>
    </w:rPr>
  </w:style>
  <w:style w:type="character" w:styleId="23">
    <w:name w:val="page number"/>
    <w:qFormat/>
    <w:uiPriority w:val="0"/>
    <w:rPr>
      <w:rFonts w:ascii="Arial" w:hAnsi="Arial"/>
      <w:sz w:val="20"/>
    </w:rPr>
  </w:style>
  <w:style w:type="character" w:customStyle="1" w:styleId="24">
    <w:name w:val="标题 2 字符"/>
    <w:link w:val="3"/>
    <w:qFormat/>
    <w:uiPriority w:val="0"/>
    <w:rPr>
      <w:rFonts w:ascii="Arial" w:hAnsi="Arial" w:eastAsia="黑体"/>
      <w:b/>
      <w:bCs/>
      <w:kern w:val="2"/>
      <w:sz w:val="32"/>
      <w:szCs w:val="32"/>
      <w:lang w:val="en-US" w:eastAsia="zh-CN" w:bidi="ar-SA"/>
    </w:rPr>
  </w:style>
  <w:style w:type="character" w:customStyle="1" w:styleId="25">
    <w:name w:val="标题 3 字符"/>
    <w:link w:val="4"/>
    <w:qFormat/>
    <w:uiPriority w:val="0"/>
    <w:rPr>
      <w:rFonts w:ascii="Arial" w:hAnsi="Arial" w:eastAsia="宋体"/>
      <w:b/>
      <w:i/>
      <w:kern w:val="2"/>
      <w:sz w:val="22"/>
      <w:lang w:val="en-GB" w:eastAsia="en-US" w:bidi="ar-SA"/>
    </w:rPr>
  </w:style>
  <w:style w:type="character" w:customStyle="1" w:styleId="26">
    <w:name w:val="Paragraph Char"/>
    <w:link w:val="5"/>
    <w:qFormat/>
    <w:uiPriority w:val="0"/>
    <w:rPr>
      <w:rFonts w:ascii="Arial" w:hAnsi="Arial" w:eastAsia="宋体"/>
      <w:sz w:val="22"/>
      <w:lang w:val="en-GB" w:eastAsia="en-US" w:bidi="ar-SA"/>
    </w:rPr>
  </w:style>
  <w:style w:type="character" w:customStyle="1" w:styleId="27">
    <w:name w:val="标题 4 字符"/>
    <w:link w:val="6"/>
    <w:qFormat/>
    <w:uiPriority w:val="0"/>
    <w:rPr>
      <w:rFonts w:ascii="Arial" w:hAnsi="Arial" w:eastAsia="宋体"/>
      <w:b/>
      <w:i/>
      <w:kern w:val="2"/>
      <w:sz w:val="22"/>
      <w:lang w:val="en-GB" w:eastAsia="en-US" w:bidi="ar-SA"/>
    </w:rPr>
  </w:style>
  <w:style w:type="character" w:customStyle="1" w:styleId="28">
    <w:name w:val="标题 5 字符"/>
    <w:link w:val="7"/>
    <w:qFormat/>
    <w:uiPriority w:val="0"/>
    <w:rPr>
      <w:rFonts w:ascii="Arial" w:hAnsi="Arial" w:eastAsia="宋体"/>
      <w:b/>
      <w:i/>
      <w:kern w:val="2"/>
      <w:sz w:val="22"/>
      <w:lang w:val="en-GB" w:eastAsia="en-US" w:bidi="ar-SA"/>
    </w:rPr>
  </w:style>
  <w:style w:type="character" w:customStyle="1" w:styleId="29">
    <w:name w:val="标题 6 字符"/>
    <w:link w:val="8"/>
    <w:qFormat/>
    <w:uiPriority w:val="0"/>
    <w:rPr>
      <w:rFonts w:ascii="Arial" w:hAnsi="Arial" w:eastAsia="宋体"/>
      <w:b/>
      <w:i/>
      <w:kern w:val="2"/>
      <w:sz w:val="22"/>
      <w:lang w:val="en-GB" w:eastAsia="en-US" w:bidi="ar-SA"/>
    </w:rPr>
  </w:style>
  <w:style w:type="character" w:customStyle="1" w:styleId="30">
    <w:name w:val="标题 7 字符"/>
    <w:link w:val="9"/>
    <w:qFormat/>
    <w:uiPriority w:val="0"/>
    <w:rPr>
      <w:rFonts w:ascii="Arial" w:hAnsi="Arial" w:eastAsia="宋体"/>
      <w:b/>
      <w:i/>
      <w:kern w:val="2"/>
      <w:sz w:val="22"/>
      <w:lang w:val="en-GB" w:eastAsia="en-US" w:bidi="ar-SA"/>
    </w:rPr>
  </w:style>
  <w:style w:type="character" w:customStyle="1" w:styleId="31">
    <w:name w:val="标题 8 字符"/>
    <w:link w:val="10"/>
    <w:qFormat/>
    <w:uiPriority w:val="0"/>
    <w:rPr>
      <w:rFonts w:ascii="Arial" w:hAnsi="Arial" w:eastAsia="宋体"/>
      <w:b/>
      <w:i/>
      <w:kern w:val="2"/>
      <w:sz w:val="22"/>
      <w:lang w:val="en-GB" w:eastAsia="en-US" w:bidi="ar-SA"/>
    </w:rPr>
  </w:style>
  <w:style w:type="character" w:customStyle="1" w:styleId="32">
    <w:name w:val="标题 9 字符"/>
    <w:link w:val="11"/>
    <w:qFormat/>
    <w:uiPriority w:val="0"/>
    <w:rPr>
      <w:rFonts w:ascii="Arial" w:hAnsi="Arial" w:eastAsia="宋体"/>
      <w:b/>
      <w:i/>
      <w:kern w:val="2"/>
      <w:sz w:val="22"/>
      <w:lang w:val="en-GB" w:eastAsia="en-US" w:bidi="ar-SA"/>
    </w:rPr>
  </w:style>
  <w:style w:type="character" w:customStyle="1" w:styleId="33">
    <w:name w:val="批注文字 字符"/>
    <w:link w:val="12"/>
    <w:qFormat/>
    <w:uiPriority w:val="0"/>
    <w:rPr>
      <w:rFonts w:eastAsia="宋体"/>
      <w:kern w:val="2"/>
      <w:sz w:val="21"/>
      <w:szCs w:val="24"/>
      <w:lang w:val="en-US" w:eastAsia="zh-CN" w:bidi="ar-SA"/>
    </w:rPr>
  </w:style>
  <w:style w:type="character" w:customStyle="1" w:styleId="34">
    <w:name w:val="正文文本 字符"/>
    <w:link w:val="13"/>
    <w:qFormat/>
    <w:uiPriority w:val="0"/>
    <w:rPr>
      <w:rFonts w:eastAsia="宋体"/>
      <w:lang w:val="en-GB" w:eastAsia="en-US" w:bidi="ar-SA"/>
    </w:rPr>
  </w:style>
  <w:style w:type="character" w:customStyle="1" w:styleId="35">
    <w:name w:val="纯文本 字符"/>
    <w:link w:val="14"/>
    <w:qFormat/>
    <w:uiPriority w:val="0"/>
    <w:rPr>
      <w:rFonts w:ascii="Consolas" w:hAnsi="Consolas" w:eastAsia="宋体"/>
      <w:sz w:val="21"/>
      <w:szCs w:val="21"/>
      <w:lang w:val="en-US" w:eastAsia="en-US" w:bidi="ar-SA"/>
    </w:rPr>
  </w:style>
  <w:style w:type="character" w:customStyle="1" w:styleId="36">
    <w:name w:val="页脚 字符"/>
    <w:link w:val="16"/>
    <w:qFormat/>
    <w:uiPriority w:val="0"/>
    <w:rPr>
      <w:rFonts w:eastAsia="宋体"/>
      <w:kern w:val="2"/>
      <w:sz w:val="18"/>
      <w:szCs w:val="18"/>
      <w:lang w:val="en-US" w:eastAsia="zh-CN" w:bidi="ar-SA"/>
    </w:rPr>
  </w:style>
  <w:style w:type="character" w:customStyle="1" w:styleId="37">
    <w:name w:val="页眉 字符"/>
    <w:link w:val="17"/>
    <w:qFormat/>
    <w:uiPriority w:val="0"/>
    <w:rPr>
      <w:rFonts w:eastAsia="宋体"/>
      <w:kern w:val="2"/>
      <w:sz w:val="18"/>
      <w:szCs w:val="18"/>
      <w:lang w:val="en-US" w:eastAsia="zh-CN" w:bidi="ar-SA"/>
    </w:rPr>
  </w:style>
  <w:style w:type="character" w:customStyle="1" w:styleId="38">
    <w:name w:val="脚注文本 字符"/>
    <w:link w:val="18"/>
    <w:qFormat/>
    <w:uiPriority w:val="0"/>
    <w:rPr>
      <w:rFonts w:ascii="Arial" w:hAnsi="Arial" w:eastAsia="宋体"/>
      <w:sz w:val="18"/>
      <w:lang w:val="en-GB" w:eastAsia="en-US" w:bidi="ar-SA"/>
    </w:rPr>
  </w:style>
  <w:style w:type="character" w:customStyle="1" w:styleId="39">
    <w:name w:val="标题 字符"/>
    <w:link w:val="20"/>
    <w:qFormat/>
    <w:uiPriority w:val="0"/>
    <w:rPr>
      <w:rFonts w:ascii="Arial" w:hAnsi="Arial" w:eastAsia="宋体"/>
      <w:b/>
      <w:sz w:val="28"/>
      <w:lang w:val="de-DE" w:eastAsia="en-GB" w:bidi="ar-SA"/>
    </w:rPr>
  </w:style>
  <w:style w:type="paragraph" w:customStyle="1" w:styleId="40">
    <w:name w:val="_Style 11"/>
    <w:basedOn w:val="1"/>
    <w:qFormat/>
    <w:uiPriority w:val="0"/>
    <w:pPr>
      <w:widowControl/>
      <w:spacing w:after="160" w:line="240" w:lineRule="exact"/>
      <w:jc w:val="left"/>
    </w:pPr>
    <w:rPr>
      <w:rFonts w:ascii="Verdana" w:hAnsi="Verdana" w:cs="Verdana"/>
      <w:kern w:val="0"/>
      <w:sz w:val="20"/>
      <w:szCs w:val="20"/>
      <w:lang w:eastAsia="en-US"/>
    </w:rPr>
  </w:style>
  <w:style w:type="character" w:customStyle="1" w:styleId="41">
    <w:name w:val="Bullets Char"/>
    <w:link w:val="42"/>
    <w:qFormat/>
    <w:uiPriority w:val="0"/>
    <w:rPr>
      <w:rFonts w:ascii="Arial" w:hAnsi="Arial" w:eastAsia="MS Mincho"/>
      <w:sz w:val="22"/>
      <w:lang w:val="en-GB" w:eastAsia="ja-JP" w:bidi="ar-SA"/>
    </w:rPr>
  </w:style>
  <w:style w:type="paragraph" w:customStyle="1" w:styleId="42">
    <w:name w:val="Bullets"/>
    <w:basedOn w:val="1"/>
    <w:link w:val="41"/>
    <w:qFormat/>
    <w:uiPriority w:val="0"/>
    <w:pPr>
      <w:widowControl/>
      <w:spacing w:after="120"/>
      <w:ind w:left="720" w:hanging="360"/>
    </w:pPr>
    <w:rPr>
      <w:rFonts w:ascii="Arial" w:hAnsi="Arial" w:eastAsia="MS Mincho"/>
      <w:kern w:val="0"/>
      <w:sz w:val="22"/>
      <w:szCs w:val="20"/>
      <w:lang w:val="en-GB" w:eastAsia="ja-JP"/>
    </w:rPr>
  </w:style>
  <w:style w:type="character" w:customStyle="1" w:styleId="43">
    <w:name w:val="Paragraph Char Char Char Char Char1"/>
    <w:link w:val="44"/>
    <w:qFormat/>
    <w:uiPriority w:val="0"/>
    <w:rPr>
      <w:rFonts w:ascii="Arial" w:hAnsi="Arial" w:eastAsia="宋体"/>
      <w:sz w:val="22"/>
      <w:lang w:val="en-GB" w:eastAsia="en-US" w:bidi="ar-SA"/>
    </w:rPr>
  </w:style>
  <w:style w:type="paragraph" w:customStyle="1" w:styleId="44">
    <w:name w:val="Paragraph Char Char Char Char"/>
    <w:basedOn w:val="1"/>
    <w:link w:val="43"/>
    <w:qFormat/>
    <w:uiPriority w:val="0"/>
    <w:pPr>
      <w:widowControl/>
      <w:spacing w:after="240"/>
    </w:pPr>
    <w:rPr>
      <w:rFonts w:ascii="Arial" w:hAnsi="Arial"/>
      <w:kern w:val="0"/>
      <w:sz w:val="22"/>
      <w:szCs w:val="20"/>
      <w:lang w:val="en-GB" w:eastAsia="en-US"/>
    </w:rPr>
  </w:style>
  <w:style w:type="paragraph" w:customStyle="1" w:styleId="45">
    <w:name w:val="修订1"/>
    <w:unhideWhenUsed/>
    <w:qFormat/>
    <w:uiPriority w:val="99"/>
    <w:rPr>
      <w:rFonts w:ascii="Times New Roman" w:hAnsi="Times New Roman" w:eastAsia="宋体" w:cs="Times New Roman"/>
      <w:kern w:val="2"/>
      <w:sz w:val="21"/>
      <w:szCs w:val="24"/>
      <w:lang w:val="en-US" w:eastAsia="zh-CN" w:bidi="ar-SA"/>
    </w:rPr>
  </w:style>
  <w:style w:type="paragraph" w:customStyle="1" w:styleId="46">
    <w:name w:val="TableText"/>
    <w:basedOn w:val="5"/>
    <w:next w:val="47"/>
    <w:qFormat/>
    <w:uiPriority w:val="0"/>
    <w:pPr>
      <w:keepNext/>
      <w:spacing w:before="60" w:after="60"/>
      <w:jc w:val="left"/>
    </w:pPr>
    <w:rPr>
      <w:sz w:val="20"/>
    </w:rPr>
  </w:style>
  <w:style w:type="paragraph" w:customStyle="1" w:styleId="47">
    <w:name w:val="Default"/>
    <w:qFormat/>
    <w:uiPriority w:val="0"/>
    <w:pPr>
      <w:widowControl w:val="0"/>
      <w:autoSpaceDE w:val="0"/>
      <w:autoSpaceDN w:val="0"/>
      <w:adjustRightInd w:val="0"/>
    </w:pPr>
    <w:rPr>
      <w:rFonts w:ascii="Arial" w:hAnsi="Arial" w:eastAsia="宋体" w:cs="Arial"/>
      <w:color w:val="000000"/>
      <w:sz w:val="24"/>
      <w:szCs w:val="24"/>
      <w:lang w:val="en-US" w:eastAsia="zh-CN" w:bidi="ar-SA"/>
    </w:rPr>
  </w:style>
  <w:style w:type="paragraph" w:customStyle="1" w:styleId="48">
    <w:name w:val="TableColumnHeading"/>
    <w:basedOn w:val="47"/>
    <w:next w:val="47"/>
    <w:qFormat/>
    <w:uiPriority w:val="0"/>
    <w:rPr>
      <w:color w:val="auto"/>
    </w:rPr>
  </w:style>
  <w:style w:type="paragraph" w:customStyle="1" w:styleId="49">
    <w:name w:val="Revision"/>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50.wmf"/><Relationship Id="rId98" Type="http://schemas.openxmlformats.org/officeDocument/2006/relationships/oleObject" Target="embeddings/oleObject45.bin"/><Relationship Id="rId97" Type="http://schemas.openxmlformats.org/officeDocument/2006/relationships/image" Target="media/image49.wmf"/><Relationship Id="rId96" Type="http://schemas.openxmlformats.org/officeDocument/2006/relationships/oleObject" Target="embeddings/oleObject44.bin"/><Relationship Id="rId95" Type="http://schemas.openxmlformats.org/officeDocument/2006/relationships/image" Target="media/image48.wmf"/><Relationship Id="rId94" Type="http://schemas.openxmlformats.org/officeDocument/2006/relationships/oleObject" Target="embeddings/oleObject43.bin"/><Relationship Id="rId93" Type="http://schemas.openxmlformats.org/officeDocument/2006/relationships/image" Target="media/image47.png"/><Relationship Id="rId92" Type="http://schemas.openxmlformats.org/officeDocument/2006/relationships/image" Target="media/image46.wmf"/><Relationship Id="rId91" Type="http://schemas.openxmlformats.org/officeDocument/2006/relationships/oleObject" Target="embeddings/oleObject42.bin"/><Relationship Id="rId90" Type="http://schemas.openxmlformats.org/officeDocument/2006/relationships/image" Target="media/image45.wmf"/><Relationship Id="rId9" Type="http://schemas.openxmlformats.org/officeDocument/2006/relationships/image" Target="media/image3.wmf"/><Relationship Id="rId89" Type="http://schemas.openxmlformats.org/officeDocument/2006/relationships/oleObject" Target="embeddings/oleObject41.bin"/><Relationship Id="rId88" Type="http://schemas.openxmlformats.org/officeDocument/2006/relationships/image" Target="media/image44.png"/><Relationship Id="rId87" Type="http://schemas.openxmlformats.org/officeDocument/2006/relationships/oleObject" Target="embeddings/oleObject40.bin"/><Relationship Id="rId86" Type="http://schemas.openxmlformats.org/officeDocument/2006/relationships/oleObject" Target="embeddings/oleObject39.bin"/><Relationship Id="rId85" Type="http://schemas.openxmlformats.org/officeDocument/2006/relationships/oleObject" Target="embeddings/oleObject38.bin"/><Relationship Id="rId84" Type="http://schemas.openxmlformats.org/officeDocument/2006/relationships/oleObject" Target="embeddings/oleObject37.bin"/><Relationship Id="rId83" Type="http://schemas.openxmlformats.org/officeDocument/2006/relationships/image" Target="media/image43.png"/><Relationship Id="rId82" Type="http://schemas.openxmlformats.org/officeDocument/2006/relationships/oleObject" Target="embeddings/oleObject36.bin"/><Relationship Id="rId81" Type="http://schemas.openxmlformats.org/officeDocument/2006/relationships/oleObject" Target="embeddings/oleObject35.bin"/><Relationship Id="rId80" Type="http://schemas.openxmlformats.org/officeDocument/2006/relationships/image" Target="media/image42.png"/><Relationship Id="rId8" Type="http://schemas.openxmlformats.org/officeDocument/2006/relationships/oleObject" Target="embeddings/oleObject2.bin"/><Relationship Id="rId79" Type="http://schemas.openxmlformats.org/officeDocument/2006/relationships/image" Target="media/image41.wmf"/><Relationship Id="rId78" Type="http://schemas.openxmlformats.org/officeDocument/2006/relationships/oleObject" Target="embeddings/oleObject34.bin"/><Relationship Id="rId77" Type="http://schemas.openxmlformats.org/officeDocument/2006/relationships/image" Target="media/image40.wmf"/><Relationship Id="rId76" Type="http://schemas.openxmlformats.org/officeDocument/2006/relationships/oleObject" Target="embeddings/oleObject33.bin"/><Relationship Id="rId75" Type="http://schemas.openxmlformats.org/officeDocument/2006/relationships/image" Target="media/image39.png"/><Relationship Id="rId74" Type="http://schemas.openxmlformats.org/officeDocument/2006/relationships/image" Target="media/image38.wmf"/><Relationship Id="rId73" Type="http://schemas.openxmlformats.org/officeDocument/2006/relationships/oleObject" Target="embeddings/oleObject32.bin"/><Relationship Id="rId72" Type="http://schemas.openxmlformats.org/officeDocument/2006/relationships/image" Target="media/image37.wmf"/><Relationship Id="rId71" Type="http://schemas.openxmlformats.org/officeDocument/2006/relationships/oleObject" Target="embeddings/oleObject31.bin"/><Relationship Id="rId70" Type="http://schemas.openxmlformats.org/officeDocument/2006/relationships/image" Target="media/image36.wmf"/><Relationship Id="rId7" Type="http://schemas.openxmlformats.org/officeDocument/2006/relationships/image" Target="media/image2.wmf"/><Relationship Id="rId69" Type="http://schemas.openxmlformats.org/officeDocument/2006/relationships/oleObject" Target="embeddings/oleObject30.bin"/><Relationship Id="rId68" Type="http://schemas.openxmlformats.org/officeDocument/2006/relationships/image" Target="media/image35.png"/><Relationship Id="rId67" Type="http://schemas.openxmlformats.org/officeDocument/2006/relationships/image" Target="media/image34.wmf"/><Relationship Id="rId66" Type="http://schemas.openxmlformats.org/officeDocument/2006/relationships/oleObject" Target="embeddings/oleObject29.bin"/><Relationship Id="rId65" Type="http://schemas.openxmlformats.org/officeDocument/2006/relationships/image" Target="media/image33.wmf"/><Relationship Id="rId64" Type="http://schemas.openxmlformats.org/officeDocument/2006/relationships/oleObject" Target="embeddings/oleObject28.bin"/><Relationship Id="rId63" Type="http://schemas.openxmlformats.org/officeDocument/2006/relationships/image" Target="media/image32.png"/><Relationship Id="rId62" Type="http://schemas.openxmlformats.org/officeDocument/2006/relationships/image" Target="media/image31.wmf"/><Relationship Id="rId61" Type="http://schemas.openxmlformats.org/officeDocument/2006/relationships/oleObject" Target="embeddings/oleObject27.bin"/><Relationship Id="rId60" Type="http://schemas.openxmlformats.org/officeDocument/2006/relationships/image" Target="media/image30.wmf"/><Relationship Id="rId6" Type="http://schemas.openxmlformats.org/officeDocument/2006/relationships/oleObject" Target="embeddings/oleObject1.bin"/><Relationship Id="rId59" Type="http://schemas.openxmlformats.org/officeDocument/2006/relationships/oleObject" Target="embeddings/oleObject26.bin"/><Relationship Id="rId58" Type="http://schemas.openxmlformats.org/officeDocument/2006/relationships/image" Target="media/image29.wmf"/><Relationship Id="rId57" Type="http://schemas.openxmlformats.org/officeDocument/2006/relationships/oleObject" Target="embeddings/oleObject25.bin"/><Relationship Id="rId56" Type="http://schemas.openxmlformats.org/officeDocument/2006/relationships/image" Target="media/image28.wmf"/><Relationship Id="rId55" Type="http://schemas.openxmlformats.org/officeDocument/2006/relationships/oleObject" Target="embeddings/oleObject24.bin"/><Relationship Id="rId54" Type="http://schemas.openxmlformats.org/officeDocument/2006/relationships/image" Target="media/image27.png"/><Relationship Id="rId53" Type="http://schemas.openxmlformats.org/officeDocument/2006/relationships/image" Target="media/image26.wmf"/><Relationship Id="rId52" Type="http://schemas.openxmlformats.org/officeDocument/2006/relationships/oleObject" Target="embeddings/oleObject23.bin"/><Relationship Id="rId51" Type="http://schemas.openxmlformats.org/officeDocument/2006/relationships/image" Target="media/image25.wmf"/><Relationship Id="rId50" Type="http://schemas.openxmlformats.org/officeDocument/2006/relationships/oleObject" Target="embeddings/oleObject22.bin"/><Relationship Id="rId5" Type="http://schemas.openxmlformats.org/officeDocument/2006/relationships/image" Target="media/image1.png"/><Relationship Id="rId49" Type="http://schemas.openxmlformats.org/officeDocument/2006/relationships/image" Target="media/image24.wmf"/><Relationship Id="rId48" Type="http://schemas.openxmlformats.org/officeDocument/2006/relationships/oleObject" Target="embeddings/oleObject21.bin"/><Relationship Id="rId47" Type="http://schemas.openxmlformats.org/officeDocument/2006/relationships/image" Target="media/image23.png"/><Relationship Id="rId46" Type="http://schemas.openxmlformats.org/officeDocument/2006/relationships/image" Target="media/image22.wmf"/><Relationship Id="rId45" Type="http://schemas.openxmlformats.org/officeDocument/2006/relationships/oleObject" Target="embeddings/oleObject20.bin"/><Relationship Id="rId44" Type="http://schemas.openxmlformats.org/officeDocument/2006/relationships/image" Target="media/image21.wmf"/><Relationship Id="rId43" Type="http://schemas.openxmlformats.org/officeDocument/2006/relationships/oleObject" Target="embeddings/oleObject19.bin"/><Relationship Id="rId42" Type="http://schemas.openxmlformats.org/officeDocument/2006/relationships/image" Target="media/image20.wmf"/><Relationship Id="rId41" Type="http://schemas.openxmlformats.org/officeDocument/2006/relationships/oleObject" Target="embeddings/oleObject18.bin"/><Relationship Id="rId40" Type="http://schemas.openxmlformats.org/officeDocument/2006/relationships/image" Target="media/image19.png"/><Relationship Id="rId4" Type="http://schemas.openxmlformats.org/officeDocument/2006/relationships/theme" Target="theme/theme1.xml"/><Relationship Id="rId39" Type="http://schemas.openxmlformats.org/officeDocument/2006/relationships/image" Target="media/image18.wmf"/><Relationship Id="rId38" Type="http://schemas.openxmlformats.org/officeDocument/2006/relationships/oleObject" Target="embeddings/oleObject17.bin"/><Relationship Id="rId37" Type="http://schemas.openxmlformats.org/officeDocument/2006/relationships/image" Target="media/image17.wmf"/><Relationship Id="rId36" Type="http://schemas.openxmlformats.org/officeDocument/2006/relationships/oleObject" Target="embeddings/oleObject16.bin"/><Relationship Id="rId35" Type="http://schemas.openxmlformats.org/officeDocument/2006/relationships/image" Target="media/image16.wmf"/><Relationship Id="rId34" Type="http://schemas.openxmlformats.org/officeDocument/2006/relationships/oleObject" Target="embeddings/oleObject15.bin"/><Relationship Id="rId33" Type="http://schemas.openxmlformats.org/officeDocument/2006/relationships/image" Target="media/image15.wmf"/><Relationship Id="rId32" Type="http://schemas.openxmlformats.org/officeDocument/2006/relationships/oleObject" Target="embeddings/oleObject14.bin"/><Relationship Id="rId31" Type="http://schemas.openxmlformats.org/officeDocument/2006/relationships/image" Target="media/image14.png"/><Relationship Id="rId30" Type="http://schemas.openxmlformats.org/officeDocument/2006/relationships/oleObject" Target="embeddings/oleObject13.bin"/><Relationship Id="rId3" Type="http://schemas.openxmlformats.org/officeDocument/2006/relationships/footer" Target="footer1.xml"/><Relationship Id="rId29" Type="http://schemas.openxmlformats.org/officeDocument/2006/relationships/oleObject" Target="embeddings/oleObject12.bin"/><Relationship Id="rId28" Type="http://schemas.openxmlformats.org/officeDocument/2006/relationships/oleObject" Target="embeddings/oleObject11.bin"/><Relationship Id="rId27" Type="http://schemas.openxmlformats.org/officeDocument/2006/relationships/image" Target="media/image13.wmf"/><Relationship Id="rId26" Type="http://schemas.openxmlformats.org/officeDocument/2006/relationships/oleObject" Target="embeddings/oleObject10.bin"/><Relationship Id="rId25" Type="http://schemas.openxmlformats.org/officeDocument/2006/relationships/image" Target="media/image12.wmf"/><Relationship Id="rId24" Type="http://schemas.openxmlformats.org/officeDocument/2006/relationships/oleObject" Target="embeddings/oleObject9.bin"/><Relationship Id="rId23" Type="http://schemas.openxmlformats.org/officeDocument/2006/relationships/image" Target="media/image11.png"/><Relationship Id="rId22" Type="http://schemas.openxmlformats.org/officeDocument/2006/relationships/image" Target="media/image10.wmf"/><Relationship Id="rId21" Type="http://schemas.openxmlformats.org/officeDocument/2006/relationships/oleObject" Target="embeddings/oleObject8.bin"/><Relationship Id="rId20" Type="http://schemas.openxmlformats.org/officeDocument/2006/relationships/image" Target="media/image9.wmf"/><Relationship Id="rId2" Type="http://schemas.openxmlformats.org/officeDocument/2006/relationships/settings" Target="settings.xml"/><Relationship Id="rId19" Type="http://schemas.openxmlformats.org/officeDocument/2006/relationships/oleObject" Target="embeddings/oleObject7.bin"/><Relationship Id="rId18" Type="http://schemas.openxmlformats.org/officeDocument/2006/relationships/image" Target="media/image8.wmf"/><Relationship Id="rId17" Type="http://schemas.openxmlformats.org/officeDocument/2006/relationships/oleObject" Target="embeddings/oleObject6.bin"/><Relationship Id="rId16" Type="http://schemas.openxmlformats.org/officeDocument/2006/relationships/image" Target="media/image7.wmf"/><Relationship Id="rId15" Type="http://schemas.openxmlformats.org/officeDocument/2006/relationships/oleObject" Target="embeddings/oleObject5.bin"/><Relationship Id="rId14" Type="http://schemas.openxmlformats.org/officeDocument/2006/relationships/image" Target="media/image6.png"/><Relationship Id="rId13" Type="http://schemas.openxmlformats.org/officeDocument/2006/relationships/image" Target="media/image5.wmf"/><Relationship Id="rId12" Type="http://schemas.openxmlformats.org/officeDocument/2006/relationships/oleObject" Target="embeddings/oleObject4.bin"/><Relationship Id="rId111" Type="http://schemas.openxmlformats.org/officeDocument/2006/relationships/fontTable" Target="fontTable.xml"/><Relationship Id="rId110" Type="http://schemas.openxmlformats.org/officeDocument/2006/relationships/numbering" Target="numbering.xml"/><Relationship Id="rId11" Type="http://schemas.openxmlformats.org/officeDocument/2006/relationships/image" Target="media/image4.wmf"/><Relationship Id="rId109" Type="http://schemas.openxmlformats.org/officeDocument/2006/relationships/oleObject" Target="embeddings/oleObject50.bin"/><Relationship Id="rId108" Type="http://schemas.openxmlformats.org/officeDocument/2006/relationships/image" Target="media/image55.wmf"/><Relationship Id="rId107" Type="http://schemas.openxmlformats.org/officeDocument/2006/relationships/oleObject" Target="embeddings/oleObject49.bin"/><Relationship Id="rId106" Type="http://schemas.openxmlformats.org/officeDocument/2006/relationships/image" Target="media/image54.wmf"/><Relationship Id="rId105" Type="http://schemas.openxmlformats.org/officeDocument/2006/relationships/oleObject" Target="embeddings/oleObject48.bin"/><Relationship Id="rId104" Type="http://schemas.openxmlformats.org/officeDocument/2006/relationships/image" Target="media/image53.wmf"/><Relationship Id="rId103" Type="http://schemas.openxmlformats.org/officeDocument/2006/relationships/oleObject" Target="embeddings/oleObject47.bin"/><Relationship Id="rId102" Type="http://schemas.openxmlformats.org/officeDocument/2006/relationships/image" Target="media/image52.wmf"/><Relationship Id="rId101" Type="http://schemas.openxmlformats.org/officeDocument/2006/relationships/oleObject" Target="embeddings/oleObject46.bin"/><Relationship Id="rId100" Type="http://schemas.openxmlformats.org/officeDocument/2006/relationships/image" Target="media/image51.png"/><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CBRC</Company>
  <Pages>11</Pages>
  <Words>1556</Words>
  <Characters>8872</Characters>
  <Lines>73</Lines>
  <Paragraphs>20</Paragraphs>
  <TotalTime>801</TotalTime>
  <ScaleCrop>false</ScaleCrop>
  <LinksUpToDate>false</LinksUpToDate>
  <CharactersWithSpaces>10408</CharactersWithSpaces>
  <Application>WPS Office_11.8.2.11764_F1E327BC-269C-435d-A152-05C5408002CA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2023-10-08T08:51:00Z</dcterms:created>
  <dc:creator>刘琦</dc:creator>
  <cp:lastModifiedBy>陈静</cp:lastModifiedBy>
  <dcterms:modified xsi:type="dcterms:W3CDTF">2024-12-12T17:30:19Z</dcterms:modified>
  <dc:title>G4B-3（a）《场外衍生工具交易对手信用风险计算表(权重法)》 </dc:title>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2052-11.8.2.11764</vt:lpwstr>
  </property>
  <property fmtid="{D5CDD505-2E9C-101B-9397-08002B2CF9AE}" pid="3" name="ICV">
    <vt:lpwstr>250A454EB0CB475EAF07675E6AE9F225_13</vt:lpwstr>
  </property>
</Properties>
</file>