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bookmarkStart w:id="0" w:name="_Toc352575129"/>
      <w:bookmarkStart w:id="1" w:name="_Toc379555451"/>
      <w:bookmarkStart w:id="2" w:name="_Toc349141680"/>
      <w:r>
        <w:rPr>
          <w:rFonts w:hint="eastAsia"/>
        </w:rPr>
        <w:t>G4B_Ⅱ 表外信用风险加权资产计算表-权重法</w:t>
      </w:r>
    </w:p>
    <w:p>
      <w:pPr>
        <w:pStyle w:val="2"/>
      </w:pPr>
      <w:r>
        <w:rPr>
          <w:rFonts w:hint="eastAsia"/>
        </w:rPr>
        <w:t>(第二档银行)(新规)</w:t>
      </w:r>
      <w:r>
        <w:t>填报说明</w:t>
      </w:r>
      <w:bookmarkEnd w:id="0"/>
      <w:bookmarkEnd w:id="1"/>
      <w:bookmarkEnd w:id="2"/>
    </w:p>
    <w:p>
      <w:pPr>
        <w:spacing w:line="360" w:lineRule="auto"/>
      </w:pPr>
    </w:p>
    <w:p>
      <w:pPr>
        <w:spacing w:line="440" w:lineRule="exact"/>
        <w:rPr>
          <w:b/>
          <w:bCs/>
          <w:szCs w:val="21"/>
        </w:rPr>
      </w:pPr>
      <w:r>
        <w:rPr>
          <w:rFonts w:hAnsi="宋体"/>
          <w:b/>
          <w:bCs/>
          <w:szCs w:val="21"/>
        </w:rPr>
        <w:t>第一部分：引言</w:t>
      </w:r>
    </w:p>
    <w:p>
      <w:pPr>
        <w:spacing w:line="440" w:lineRule="exact"/>
        <w:ind w:firstLine="420" w:firstLineChars="200"/>
        <w:rPr>
          <w:b/>
          <w:bCs/>
          <w:szCs w:val="21"/>
        </w:rPr>
      </w:pPr>
      <w:r>
        <w:rPr>
          <w:rFonts w:hAnsi="宋体"/>
          <w:szCs w:val="21"/>
        </w:rPr>
        <w:t>本表根据《商业银行资本管理办法》</w:t>
      </w:r>
      <w:r>
        <w:rPr>
          <w:rFonts w:hint="eastAsia" w:hAnsi="宋体"/>
          <w:szCs w:val="21"/>
        </w:rPr>
        <w:t>（以下简称《办法》）</w:t>
      </w:r>
      <w:r>
        <w:rPr>
          <w:rFonts w:hAnsi="宋体"/>
          <w:szCs w:val="21"/>
        </w:rPr>
        <w:t>的相关要求，</w:t>
      </w:r>
      <w:r>
        <w:rPr>
          <w:rFonts w:hint="eastAsia" w:hAnsi="宋体"/>
          <w:szCs w:val="21"/>
        </w:rPr>
        <w:t>计量表外项目的风险加权资产</w:t>
      </w:r>
      <w:r>
        <w:rPr>
          <w:rFonts w:hAnsi="宋体"/>
          <w:szCs w:val="21"/>
        </w:rPr>
        <w:t>。</w:t>
      </w:r>
    </w:p>
    <w:p>
      <w:pPr>
        <w:spacing w:line="440" w:lineRule="exact"/>
        <w:rPr>
          <w:b/>
          <w:bCs/>
          <w:szCs w:val="21"/>
        </w:rPr>
      </w:pPr>
      <w:r>
        <w:rPr>
          <w:rFonts w:hAnsi="宋体"/>
          <w:b/>
          <w:bCs/>
          <w:szCs w:val="21"/>
        </w:rPr>
        <w:t>第二部分：一般说明</w:t>
      </w:r>
    </w:p>
    <w:p>
      <w:pPr>
        <w:spacing w:line="440" w:lineRule="exact"/>
        <w:ind w:firstLine="420" w:firstLineChars="200"/>
        <w:rPr>
          <w:szCs w:val="21"/>
        </w:rPr>
      </w:pPr>
      <w:r>
        <w:rPr>
          <w:szCs w:val="21"/>
        </w:rPr>
        <w:t>1</w:t>
      </w:r>
      <w:r>
        <w:rPr>
          <w:rFonts w:hAnsi="宋体"/>
          <w:szCs w:val="21"/>
        </w:rPr>
        <w:t>．报表名称：表外信用风险加权资产计算表（权重法）</w:t>
      </w:r>
      <w:r>
        <w:rPr>
          <w:rFonts w:hint="eastAsia" w:hAnsi="宋体"/>
          <w:szCs w:val="21"/>
        </w:rPr>
        <w:t>。</w:t>
      </w:r>
    </w:p>
    <w:p>
      <w:pPr>
        <w:spacing w:line="440" w:lineRule="exact"/>
        <w:ind w:firstLine="420" w:firstLineChars="200"/>
        <w:rPr>
          <w:szCs w:val="21"/>
        </w:rPr>
      </w:pPr>
      <w:r>
        <w:rPr>
          <w:bCs/>
          <w:szCs w:val="21"/>
        </w:rPr>
        <w:t>2</w:t>
      </w:r>
      <w:r>
        <w:rPr>
          <w:rFonts w:hAnsi="宋体"/>
          <w:bCs/>
          <w:szCs w:val="21"/>
        </w:rPr>
        <w:t>．报表编码</w:t>
      </w:r>
      <w:r>
        <w:rPr>
          <w:rFonts w:hAnsi="宋体"/>
          <w:szCs w:val="21"/>
        </w:rPr>
        <w:t>：</w:t>
      </w:r>
      <w:r>
        <w:rPr>
          <w:rFonts w:hint="eastAsia" w:hAnsi="宋体"/>
          <w:szCs w:val="21"/>
          <w:lang w:eastAsia="zh-CN"/>
        </w:rPr>
        <w:t>金</w:t>
      </w:r>
      <w:bookmarkStart w:id="3" w:name="_GoBack"/>
      <w:bookmarkEnd w:id="3"/>
      <w:r>
        <w:rPr>
          <w:rFonts w:hAnsi="宋体"/>
          <w:szCs w:val="21"/>
        </w:rPr>
        <w:t>监统</w:t>
      </w:r>
      <w:r>
        <w:rPr>
          <w:rFonts w:hint="eastAsia" w:hAnsi="宋体"/>
          <w:szCs w:val="21"/>
        </w:rPr>
        <w:t>0043</w:t>
      </w:r>
      <w:r>
        <w:rPr>
          <w:rFonts w:hAnsi="宋体"/>
          <w:szCs w:val="21"/>
        </w:rPr>
        <w:t>号</w:t>
      </w:r>
      <w:r>
        <w:rPr>
          <w:rFonts w:hint="eastAsia" w:hAnsi="宋体"/>
          <w:szCs w:val="21"/>
        </w:rPr>
        <w:t>。</w:t>
      </w:r>
    </w:p>
    <w:p>
      <w:pPr>
        <w:spacing w:line="440" w:lineRule="exact"/>
        <w:ind w:firstLine="420" w:firstLineChars="200"/>
        <w:rPr>
          <w:rFonts w:ascii="宋体" w:hAnsi="宋体"/>
          <w:szCs w:val="21"/>
        </w:rPr>
      </w:pPr>
      <w:r>
        <w:rPr>
          <w:szCs w:val="21"/>
        </w:rPr>
        <w:t>3</w:t>
      </w:r>
      <w:r>
        <w:rPr>
          <w:rFonts w:hAnsi="宋体"/>
          <w:szCs w:val="21"/>
        </w:rPr>
        <w:t>．填报机构：</w:t>
      </w:r>
      <w:r>
        <w:rPr>
          <w:rFonts w:hint="eastAsia" w:ascii="宋体" w:hAnsi="宋体"/>
          <w:szCs w:val="21"/>
        </w:rPr>
        <w:t>符合《办法》第二档商业银行标准的金融机构，包括</w:t>
      </w:r>
      <w:r>
        <w:rPr>
          <w:rFonts w:hint="eastAsia" w:hAnsi="宋体"/>
          <w:szCs w:val="21"/>
        </w:rPr>
        <w:t>开发性金融机构和政策性银行、大型商业银行（含邮储银行）</w:t>
      </w:r>
      <w:r>
        <w:rPr>
          <w:rFonts w:hint="eastAsia" w:ascii="宋体" w:hAnsi="宋体"/>
          <w:szCs w:val="21"/>
        </w:rPr>
        <w:t>、股份制商业银行、城市商业银行、民营银行、农村商业银行、农村合作银行、农村信用合作社、村镇银行、外资法人银行、外国银行分行(仅报人民币账户数据)、企业集团财务公司、金融租赁公司、汽车金融公司、消费金融公司</w:t>
      </w:r>
      <w:r>
        <w:rPr>
          <w:rFonts w:ascii="宋体" w:hAnsi="宋体"/>
          <w:szCs w:val="21"/>
        </w:rPr>
        <w:t>。</w:t>
      </w:r>
    </w:p>
    <w:p>
      <w:pPr>
        <w:spacing w:line="440" w:lineRule="exact"/>
        <w:ind w:firstLine="539" w:firstLineChars="257"/>
        <w:rPr>
          <w:rFonts w:ascii="宋体" w:hAnsi="宋体"/>
          <w:szCs w:val="21"/>
        </w:rPr>
      </w:pPr>
      <w:r>
        <w:rPr>
          <w:rFonts w:hint="eastAsia" w:ascii="宋体" w:hAnsi="宋体"/>
          <w:szCs w:val="21"/>
        </w:rPr>
        <w:t>农村资金互助社、贷款公司将该表作为计算资本充足率的工作底稿，无需正式报送。</w:t>
      </w:r>
    </w:p>
    <w:p>
      <w:pPr>
        <w:spacing w:line="440" w:lineRule="exact"/>
        <w:ind w:firstLine="420" w:firstLineChars="200"/>
        <w:rPr>
          <w:szCs w:val="21"/>
        </w:rPr>
      </w:pPr>
      <w:r>
        <w:rPr>
          <w:szCs w:val="21"/>
        </w:rPr>
        <w:t>4</w:t>
      </w:r>
      <w:r>
        <w:rPr>
          <w:rFonts w:hAnsi="宋体"/>
          <w:bCs/>
          <w:szCs w:val="21"/>
        </w:rPr>
        <w:t>．</w:t>
      </w:r>
      <w:r>
        <w:rPr>
          <w:rFonts w:hAnsi="宋体"/>
          <w:szCs w:val="21"/>
        </w:rPr>
        <w:t>报送口径、频度及时间：法人汇总数据（季报）为季后</w:t>
      </w:r>
      <w:r>
        <w:rPr>
          <w:szCs w:val="21"/>
        </w:rPr>
        <w:t>18</w:t>
      </w:r>
      <w:r>
        <w:rPr>
          <w:rFonts w:hAnsi="宋体"/>
          <w:szCs w:val="21"/>
        </w:rPr>
        <w:t>日内、合并报表数据（</w:t>
      </w:r>
      <w:r>
        <w:rPr>
          <w:rFonts w:hint="eastAsia" w:hAnsi="宋体"/>
          <w:szCs w:val="21"/>
        </w:rPr>
        <w:t>季</w:t>
      </w:r>
      <w:r>
        <w:rPr>
          <w:rFonts w:hAnsi="宋体"/>
          <w:szCs w:val="21"/>
        </w:rPr>
        <w:t>报）为</w:t>
      </w:r>
      <w:r>
        <w:rPr>
          <w:rFonts w:hint="eastAsia" w:hAnsi="宋体"/>
          <w:szCs w:val="21"/>
        </w:rPr>
        <w:t>季</w:t>
      </w:r>
      <w:r>
        <w:rPr>
          <w:rFonts w:hAnsi="宋体"/>
          <w:szCs w:val="21"/>
        </w:rPr>
        <w:t>后</w:t>
      </w:r>
      <w:r>
        <w:rPr>
          <w:szCs w:val="21"/>
        </w:rPr>
        <w:t>40</w:t>
      </w:r>
      <w:r>
        <w:rPr>
          <w:rFonts w:hAnsi="宋体"/>
          <w:szCs w:val="21"/>
        </w:rPr>
        <w:t>日内。</w:t>
      </w:r>
    </w:p>
    <w:p>
      <w:pPr>
        <w:spacing w:line="440" w:lineRule="exact"/>
        <w:ind w:firstLine="420" w:firstLineChars="200"/>
        <w:rPr>
          <w:szCs w:val="21"/>
        </w:rPr>
      </w:pPr>
      <w:r>
        <w:rPr>
          <w:szCs w:val="21"/>
        </w:rPr>
        <w:t>5</w:t>
      </w:r>
      <w:r>
        <w:rPr>
          <w:rFonts w:hAnsi="宋体"/>
          <w:bCs/>
          <w:szCs w:val="21"/>
        </w:rPr>
        <w:t>．</w:t>
      </w:r>
      <w:r>
        <w:rPr>
          <w:rFonts w:hAnsi="宋体"/>
          <w:szCs w:val="21"/>
        </w:rPr>
        <w:t>报送方式：以电子报表形式报送</w:t>
      </w:r>
      <w:r>
        <w:rPr>
          <w:rFonts w:hint="eastAsia" w:hAnsi="宋体"/>
          <w:szCs w:val="21"/>
        </w:rPr>
        <w:t>国家金融监督管理总局。</w:t>
      </w:r>
    </w:p>
    <w:p>
      <w:pPr>
        <w:spacing w:line="440" w:lineRule="exact"/>
        <w:ind w:firstLine="420" w:firstLineChars="200"/>
        <w:rPr>
          <w:szCs w:val="21"/>
        </w:rPr>
      </w:pPr>
      <w:r>
        <w:rPr>
          <w:szCs w:val="21"/>
        </w:rPr>
        <w:t>6</w:t>
      </w:r>
      <w:r>
        <w:rPr>
          <w:rFonts w:hAnsi="宋体"/>
          <w:szCs w:val="21"/>
        </w:rPr>
        <w:t>．数据单位：万元。</w:t>
      </w:r>
    </w:p>
    <w:p>
      <w:pPr>
        <w:spacing w:line="440" w:lineRule="exact"/>
        <w:ind w:firstLine="420" w:firstLineChars="200"/>
        <w:rPr>
          <w:szCs w:val="21"/>
        </w:rPr>
      </w:pPr>
      <w:r>
        <w:rPr>
          <w:szCs w:val="21"/>
        </w:rPr>
        <w:t>7</w:t>
      </w:r>
      <w:r>
        <w:rPr>
          <w:rFonts w:hAnsi="宋体"/>
          <w:szCs w:val="21"/>
        </w:rPr>
        <w:t>．四舍五入要求：金额保留两位小数。</w:t>
      </w:r>
    </w:p>
    <w:p>
      <w:pPr>
        <w:spacing w:line="440" w:lineRule="exact"/>
        <w:ind w:firstLine="420" w:firstLineChars="200"/>
        <w:rPr>
          <w:rFonts w:hAnsi="宋体"/>
          <w:bCs/>
          <w:szCs w:val="21"/>
        </w:rPr>
      </w:pPr>
      <w:r>
        <w:rPr>
          <w:szCs w:val="21"/>
        </w:rPr>
        <w:t>8</w:t>
      </w:r>
      <w:r>
        <w:rPr>
          <w:rFonts w:hAnsi="宋体"/>
          <w:szCs w:val="21"/>
        </w:rPr>
        <w:t>．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w:t>
      </w:r>
      <w:r>
        <w:rPr>
          <w:szCs w:val="21"/>
        </w:rPr>
        <w:t>9</w:t>
      </w:r>
      <w:r>
        <w:rPr>
          <w:rFonts w:hAnsi="宋体"/>
          <w:szCs w:val="21"/>
        </w:rPr>
        <w:t>时国际外汇市场其他货币兑美元汇率套算确定</w:t>
      </w:r>
      <w:r>
        <w:rPr>
          <w:rFonts w:hAnsi="宋体"/>
          <w:bCs/>
          <w:szCs w:val="21"/>
        </w:rPr>
        <w:t>。</w:t>
      </w:r>
    </w:p>
    <w:p>
      <w:pPr>
        <w:spacing w:line="440" w:lineRule="exact"/>
        <w:rPr>
          <w:b/>
          <w:bCs/>
          <w:szCs w:val="21"/>
        </w:rPr>
      </w:pPr>
      <w:r>
        <w:rPr>
          <w:rFonts w:hAnsi="宋体"/>
          <w:b/>
          <w:bCs/>
          <w:szCs w:val="21"/>
        </w:rPr>
        <w:t>第三部分：具体说明</w:t>
      </w:r>
    </w:p>
    <w:p>
      <w:pPr>
        <w:spacing w:line="440" w:lineRule="exact"/>
        <w:ind w:firstLine="420" w:firstLineChars="200"/>
        <w:rPr>
          <w:szCs w:val="21"/>
        </w:rPr>
      </w:pPr>
      <w:r>
        <w:rPr>
          <w:rFonts w:hAnsi="宋体"/>
          <w:szCs w:val="21"/>
        </w:rPr>
        <w:t>表外项目是指填报机构已经发生但不涉及或尚未涉及资金增减变化，按会计准则不计入资产负债表，但有可能引起损益变动的业务。本表用于计算表外项目相应的信用风险加权资产。</w:t>
      </w:r>
    </w:p>
    <w:p>
      <w:pPr>
        <w:spacing w:line="440" w:lineRule="exact"/>
        <w:ind w:firstLine="420" w:firstLineChars="200"/>
        <w:rPr>
          <w:rFonts w:ascii="宋体" w:hAnsi="宋体"/>
          <w:szCs w:val="21"/>
        </w:rPr>
      </w:pPr>
      <w:r>
        <w:rPr>
          <w:rFonts w:ascii="宋体" w:hAnsi="宋体"/>
          <w:szCs w:val="21"/>
        </w:rPr>
        <w:t>[1.等同于贷款的授信业务]：包括一般负债担保、远期票据承兑和具承兑性质的背书。</w:t>
      </w:r>
    </w:p>
    <w:p>
      <w:pPr>
        <w:spacing w:line="440" w:lineRule="exact"/>
        <w:ind w:firstLine="420" w:firstLineChars="200"/>
        <w:rPr>
          <w:rFonts w:ascii="宋体" w:hAnsi="宋体"/>
          <w:szCs w:val="21"/>
        </w:rPr>
      </w:pPr>
      <w:r>
        <w:rPr>
          <w:rFonts w:ascii="宋体" w:hAnsi="宋体"/>
          <w:szCs w:val="21"/>
        </w:rPr>
        <w:t>[1.1</w:t>
      </w:r>
      <w:r>
        <w:rPr>
          <w:rFonts w:hint="eastAsia" w:ascii="宋体" w:hAnsi="宋体"/>
          <w:szCs w:val="21"/>
        </w:rPr>
        <w:t>银行</w:t>
      </w:r>
      <w:r>
        <w:rPr>
          <w:rFonts w:ascii="宋体" w:hAnsi="宋体"/>
          <w:szCs w:val="21"/>
        </w:rPr>
        <w:t>承兑汇票]：是指由出票人签发并向填报机构申请，经填报机构承兑的汇票。</w:t>
      </w:r>
    </w:p>
    <w:p>
      <w:pPr>
        <w:spacing w:line="440" w:lineRule="exact"/>
        <w:ind w:firstLine="420" w:firstLineChars="200"/>
        <w:rPr>
          <w:rFonts w:ascii="宋体" w:hAnsi="宋体"/>
          <w:szCs w:val="21"/>
        </w:rPr>
      </w:pPr>
      <w:r>
        <w:rPr>
          <w:rFonts w:ascii="宋体" w:hAnsi="宋体"/>
          <w:szCs w:val="21"/>
        </w:rPr>
        <w:t>[1.2融资性保函]：是指以资金融通为目的，填报机构为合约关系一方当事人（担保申请人），向合约关系的另一方当事人（担保受益人）开立的，当担保申请人出现违约时由填报机构承担偿还资金债务、还款担保责任的保函（法律性文书）。</w:t>
      </w:r>
    </w:p>
    <w:p>
      <w:pPr>
        <w:spacing w:line="440" w:lineRule="exact"/>
        <w:ind w:firstLine="420" w:firstLineChars="200"/>
        <w:rPr>
          <w:rFonts w:ascii="宋体" w:hAnsi="宋体"/>
          <w:szCs w:val="21"/>
        </w:rPr>
      </w:pPr>
      <w:r>
        <w:rPr>
          <w:rFonts w:ascii="宋体" w:hAnsi="宋体"/>
          <w:szCs w:val="21"/>
        </w:rPr>
        <w:t>融资性保函包括：借款保函、融资租赁保函、透支保函、有价证券发行担保、一年期以上的延期付款保函、以货币偿还的补偿贸易保函、银行授信额度保函和融资性备用信用证等。融资性备用信用证是指开证行保证在开证申请人未能履行其应履行的义务时，受益人只要凭备用信用证的规定向开证行开具汇票，并随附开证申请人未履行义务的声明或证明文件即可得到开证行偿付。保兑信用证也统计在此项目。</w:t>
      </w:r>
    </w:p>
    <w:p>
      <w:pPr>
        <w:spacing w:line="440" w:lineRule="exact"/>
        <w:ind w:firstLine="420" w:firstLineChars="200"/>
        <w:rPr>
          <w:rFonts w:ascii="宋体" w:hAnsi="宋体"/>
          <w:szCs w:val="21"/>
        </w:rPr>
      </w:pPr>
      <w:r>
        <w:rPr>
          <w:rFonts w:ascii="宋体" w:hAnsi="宋体"/>
          <w:szCs w:val="21"/>
        </w:rPr>
        <w:t>[1.3其他等同于贷款的授信业务]：是指未归类在[1.1承兑汇票]、[1.2融资性保函]中的其他等同于贷款的授信业务。</w:t>
      </w:r>
    </w:p>
    <w:p>
      <w:pPr>
        <w:spacing w:line="440" w:lineRule="exact"/>
        <w:ind w:firstLine="420" w:firstLineChars="200"/>
        <w:rPr>
          <w:rFonts w:ascii="宋体" w:hAnsi="宋体"/>
          <w:szCs w:val="21"/>
        </w:rPr>
      </w:pPr>
      <w:r>
        <w:rPr>
          <w:rFonts w:ascii="宋体" w:hAnsi="宋体"/>
          <w:szCs w:val="21"/>
        </w:rPr>
        <w:t>[2.与交易相关的或有项目]：包括投标保函、履约保函、预付保函、预留金保函等。</w:t>
      </w:r>
    </w:p>
    <w:p>
      <w:pPr>
        <w:spacing w:line="440" w:lineRule="exact"/>
        <w:ind w:firstLine="420" w:firstLineChars="200"/>
        <w:rPr>
          <w:rFonts w:ascii="宋体" w:hAnsi="宋体"/>
          <w:szCs w:val="21"/>
        </w:rPr>
      </w:pPr>
      <w:r>
        <w:rPr>
          <w:rFonts w:ascii="宋体" w:hAnsi="宋体"/>
          <w:szCs w:val="21"/>
        </w:rPr>
        <w:t>[2.1非融资性保函]：是指填报机构为客户贸易或工程投标等非融资性经营活动开具担保文书的保函。非融资性保函包括投标保函、履约保函、预付款保函、海事保函、质量保函、关税付款保函、工程维修保函、诉讼保函、提货担保保函等。</w:t>
      </w:r>
    </w:p>
    <w:p>
      <w:pPr>
        <w:spacing w:line="440" w:lineRule="exact"/>
        <w:ind w:firstLine="420" w:firstLineChars="200"/>
        <w:rPr>
          <w:rFonts w:ascii="宋体" w:hAnsi="宋体"/>
          <w:szCs w:val="21"/>
        </w:rPr>
      </w:pPr>
      <w:r>
        <w:rPr>
          <w:rFonts w:ascii="宋体" w:hAnsi="宋体"/>
          <w:szCs w:val="21"/>
        </w:rPr>
        <w:t>[2.2其他与交易相关的或有项目]：是指未归类在[2.1非融资性保函]中的其他与交易相关的或有负债。</w:t>
      </w:r>
    </w:p>
    <w:p>
      <w:pPr>
        <w:spacing w:line="440" w:lineRule="exact"/>
        <w:ind w:firstLine="420" w:firstLineChars="200"/>
        <w:rPr>
          <w:rFonts w:ascii="宋体" w:hAnsi="宋体"/>
          <w:szCs w:val="21"/>
        </w:rPr>
      </w:pPr>
      <w:r>
        <w:rPr>
          <w:rFonts w:ascii="宋体" w:hAnsi="宋体"/>
          <w:szCs w:val="21"/>
        </w:rPr>
        <w:t>[3.与贸易相关的短期或有项目]：主要指有优先索偿权的装运货物作抵押的跟单信用证。</w:t>
      </w:r>
    </w:p>
    <w:p>
      <w:pPr>
        <w:spacing w:line="440" w:lineRule="exact"/>
        <w:ind w:firstLine="420" w:firstLineChars="200"/>
        <w:rPr>
          <w:rFonts w:ascii="宋体" w:hAnsi="宋体"/>
          <w:szCs w:val="21"/>
        </w:rPr>
      </w:pPr>
      <w:r>
        <w:rPr>
          <w:rFonts w:ascii="宋体" w:hAnsi="宋体"/>
          <w:szCs w:val="21"/>
        </w:rPr>
        <w:t>[3.1</w:t>
      </w:r>
      <w:r>
        <w:rPr>
          <w:rFonts w:hint="eastAsia" w:ascii="宋体" w:hAnsi="宋体"/>
          <w:szCs w:val="21"/>
        </w:rPr>
        <w:t>一年以内的跟单国内信用证</w:t>
      </w:r>
      <w:r>
        <w:rPr>
          <w:rFonts w:ascii="宋体" w:hAnsi="宋体"/>
          <w:szCs w:val="21"/>
        </w:rPr>
        <w:t>]：是指</w:t>
      </w:r>
      <w:r>
        <w:rPr>
          <w:rFonts w:hint="eastAsia" w:ascii="宋体" w:hAnsi="宋体"/>
          <w:szCs w:val="21"/>
        </w:rPr>
        <w:t>凭</w:t>
      </w:r>
      <w:r>
        <w:rPr>
          <w:rFonts w:ascii="宋体" w:hAnsi="宋体"/>
          <w:szCs w:val="21"/>
        </w:rPr>
        <w:t>跟单汇票或仅凭单据付款的、有效期在一年期以内（含一年）的</w:t>
      </w:r>
      <w:r>
        <w:rPr>
          <w:rFonts w:hint="eastAsia" w:ascii="宋体" w:hAnsi="宋体"/>
          <w:szCs w:val="21"/>
        </w:rPr>
        <w:t>跟单国内</w:t>
      </w:r>
      <w:r>
        <w:rPr>
          <w:rFonts w:ascii="宋体" w:hAnsi="宋体"/>
          <w:szCs w:val="21"/>
        </w:rPr>
        <w:t>信用证。</w:t>
      </w:r>
      <w:r>
        <w:rPr>
          <w:rFonts w:hint="eastAsia" w:ascii="宋体" w:hAnsi="宋体"/>
          <w:szCs w:val="21"/>
        </w:rPr>
        <w:t>其中，国内信用证的定义参见《国内信用证结算办法》。</w:t>
      </w:r>
      <w:r>
        <w:rPr>
          <w:rFonts w:ascii="宋体" w:hAnsi="宋体"/>
          <w:szCs w:val="21"/>
        </w:rPr>
        <w:t>单据是指代表货物所有权的单据（如海运提单等），或证明货物已交运的单据（如铁路运单、航空运单、邮包收据）。跟单信用证的期末余额是指银行进口贸易结算项下所有尚未履行完毕的付款或承兑义务，包括尚未到单付款的即期信用证余额、尚未到单承兑的远期信用证余额、已经承兑但尚未付款的信用证余额以及因单据的争议尚在交涉未付款的信用证余额等。</w:t>
      </w:r>
    </w:p>
    <w:p>
      <w:pPr>
        <w:spacing w:line="440" w:lineRule="exact"/>
        <w:ind w:firstLine="420" w:firstLineChars="200"/>
        <w:rPr>
          <w:rFonts w:ascii="宋体" w:hAnsi="宋体"/>
          <w:szCs w:val="21"/>
        </w:rPr>
      </w:pPr>
      <w:r>
        <w:rPr>
          <w:rFonts w:hint="eastAsia" w:ascii="宋体" w:hAnsi="宋体"/>
          <w:szCs w:val="21"/>
          <w:lang w:val="en-US" w:eastAsia="zh-CN"/>
        </w:rPr>
        <w:t>对于“售后回租”国内信用证业务，涉及《国家金融监督管理总局办公厅关于检查发现“售后回租”国内信用证业务违规问题的通报》中所述业务模式的，应按照该通报相关要求计提风险加权资产。</w:t>
      </w:r>
    </w:p>
    <w:p>
      <w:pPr>
        <w:spacing w:line="440" w:lineRule="exact"/>
        <w:ind w:firstLine="420" w:firstLineChars="200"/>
        <w:rPr>
          <w:rFonts w:ascii="宋体" w:hAnsi="宋体"/>
          <w:szCs w:val="21"/>
        </w:rPr>
      </w:pPr>
      <w:r>
        <w:rPr>
          <w:rFonts w:ascii="宋体" w:hAnsi="宋体"/>
          <w:szCs w:val="21"/>
        </w:rPr>
        <w:t>[3.1.1</w:t>
      </w:r>
      <w:r>
        <w:rPr>
          <w:rFonts w:hint="eastAsia" w:ascii="宋体" w:hAnsi="宋体"/>
          <w:szCs w:val="21"/>
        </w:rPr>
        <w:t>一年以内的跟单国内货物贸易信用证</w:t>
      </w:r>
      <w:r>
        <w:rPr>
          <w:rFonts w:ascii="宋体" w:hAnsi="宋体"/>
          <w:szCs w:val="21"/>
        </w:rPr>
        <w:t>]：</w:t>
      </w:r>
      <w:r>
        <w:rPr>
          <w:rFonts w:hint="eastAsia" w:ascii="宋体" w:hAnsi="宋体"/>
          <w:szCs w:val="21"/>
        </w:rPr>
        <w:t>是指有效期限在一年以内</w:t>
      </w:r>
      <w:r>
        <w:rPr>
          <w:rFonts w:ascii="宋体" w:hAnsi="宋体"/>
          <w:szCs w:val="21"/>
        </w:rPr>
        <w:t>（含一年）</w:t>
      </w:r>
      <w:r>
        <w:rPr>
          <w:rFonts w:hint="eastAsia" w:ascii="宋体" w:hAnsi="宋体"/>
          <w:szCs w:val="21"/>
        </w:rPr>
        <w:t>的基于货物贸易的跟单国内</w:t>
      </w:r>
      <w:r>
        <w:rPr>
          <w:rFonts w:ascii="宋体" w:hAnsi="宋体"/>
          <w:szCs w:val="21"/>
        </w:rPr>
        <w:t>信用证。</w:t>
      </w:r>
    </w:p>
    <w:p>
      <w:pPr>
        <w:spacing w:line="440" w:lineRule="exact"/>
        <w:ind w:firstLine="420" w:firstLineChars="200"/>
        <w:rPr>
          <w:rFonts w:ascii="宋体" w:hAnsi="宋体"/>
          <w:szCs w:val="21"/>
        </w:rPr>
      </w:pPr>
      <w:r>
        <w:rPr>
          <w:rFonts w:ascii="宋体" w:hAnsi="宋体"/>
          <w:szCs w:val="21"/>
        </w:rPr>
        <w:t>[3.1.2</w:t>
      </w:r>
      <w:r>
        <w:rPr>
          <w:rFonts w:hint="eastAsia" w:ascii="宋体" w:hAnsi="宋体"/>
          <w:szCs w:val="21"/>
        </w:rPr>
        <w:t>一年以内的跟单国内服务贸易信用证</w:t>
      </w:r>
      <w:r>
        <w:rPr>
          <w:rFonts w:ascii="宋体" w:hAnsi="宋体"/>
          <w:szCs w:val="21"/>
        </w:rPr>
        <w:t>]：</w:t>
      </w:r>
      <w:r>
        <w:rPr>
          <w:rFonts w:hint="eastAsia" w:ascii="宋体" w:hAnsi="宋体"/>
          <w:szCs w:val="21"/>
        </w:rPr>
        <w:t>是指有效期限在一年以内（含一年）的基于服务贸易的跟单国内</w:t>
      </w:r>
      <w:r>
        <w:rPr>
          <w:rFonts w:ascii="宋体" w:hAnsi="宋体"/>
          <w:szCs w:val="21"/>
        </w:rPr>
        <w:t>信用证。</w:t>
      </w:r>
    </w:p>
    <w:p>
      <w:pPr>
        <w:spacing w:line="440" w:lineRule="exact"/>
        <w:ind w:firstLine="420" w:firstLineChars="200"/>
        <w:rPr>
          <w:rFonts w:ascii="宋体" w:hAnsi="宋体"/>
          <w:szCs w:val="21"/>
        </w:rPr>
      </w:pPr>
      <w:r>
        <w:rPr>
          <w:rFonts w:ascii="宋体" w:hAnsi="宋体"/>
          <w:szCs w:val="21"/>
        </w:rPr>
        <w:t>[3.</w:t>
      </w:r>
      <w:r>
        <w:rPr>
          <w:rFonts w:hint="eastAsia" w:ascii="宋体" w:hAnsi="宋体"/>
          <w:szCs w:val="21"/>
        </w:rPr>
        <w:t>2一年以内的跟单国际信用证</w:t>
      </w:r>
      <w:r>
        <w:rPr>
          <w:rFonts w:ascii="宋体" w:hAnsi="宋体"/>
          <w:szCs w:val="21"/>
        </w:rPr>
        <w:t>]：</w:t>
      </w:r>
      <w:r>
        <w:rPr>
          <w:rFonts w:hint="eastAsia" w:ascii="宋体" w:hAnsi="宋体"/>
          <w:szCs w:val="21"/>
        </w:rPr>
        <w:t>是指除</w:t>
      </w:r>
      <w:r>
        <w:rPr>
          <w:rFonts w:ascii="宋体" w:hAnsi="宋体"/>
          <w:szCs w:val="21"/>
        </w:rPr>
        <w:t>[3.1</w:t>
      </w:r>
      <w:r>
        <w:rPr>
          <w:rFonts w:hint="eastAsia" w:ascii="宋体" w:hAnsi="宋体"/>
          <w:szCs w:val="21"/>
        </w:rPr>
        <w:t>一年以内的跟单国内信用证</w:t>
      </w:r>
      <w:r>
        <w:rPr>
          <w:rFonts w:ascii="宋体" w:hAnsi="宋体"/>
          <w:szCs w:val="21"/>
        </w:rPr>
        <w:t>]</w:t>
      </w:r>
      <w:r>
        <w:rPr>
          <w:rFonts w:hint="eastAsia" w:ascii="宋体" w:hAnsi="宋体"/>
          <w:szCs w:val="21"/>
        </w:rPr>
        <w:t>以外的，凭跟单汇票或仅凭单据付款的、有效期在一年期以内（含一年）的跟单信用证。</w:t>
      </w:r>
    </w:p>
    <w:p>
      <w:pPr>
        <w:spacing w:line="440" w:lineRule="exact"/>
        <w:ind w:firstLine="420" w:firstLineChars="200"/>
        <w:rPr>
          <w:rFonts w:ascii="宋体" w:hAnsi="宋体"/>
          <w:szCs w:val="21"/>
        </w:rPr>
      </w:pPr>
      <w:r>
        <w:rPr>
          <w:rFonts w:ascii="宋体" w:hAnsi="宋体"/>
          <w:szCs w:val="21"/>
        </w:rPr>
        <w:t>[3.</w:t>
      </w:r>
      <w:r>
        <w:rPr>
          <w:rFonts w:hint="eastAsia" w:ascii="宋体" w:hAnsi="宋体"/>
          <w:szCs w:val="21"/>
        </w:rPr>
        <w:t>3</w:t>
      </w:r>
      <w:r>
        <w:rPr>
          <w:rFonts w:ascii="宋体" w:hAnsi="宋体"/>
          <w:szCs w:val="21"/>
        </w:rPr>
        <w:t>其他与贸易相关的短期或有项目]：是指未归类在[3.1</w:t>
      </w:r>
      <w:r>
        <w:rPr>
          <w:rFonts w:hint="eastAsia" w:ascii="宋体" w:hAnsi="宋体"/>
          <w:szCs w:val="21"/>
        </w:rPr>
        <w:t>一年以内的跟单国内信用证</w:t>
      </w:r>
      <w:r>
        <w:rPr>
          <w:rFonts w:ascii="宋体" w:hAnsi="宋体"/>
          <w:szCs w:val="21"/>
        </w:rPr>
        <w:t>]</w:t>
      </w:r>
      <w:r>
        <w:rPr>
          <w:rFonts w:hint="eastAsia" w:ascii="宋体" w:hAnsi="宋体"/>
          <w:szCs w:val="21"/>
        </w:rPr>
        <w:t>、</w:t>
      </w:r>
      <w:r>
        <w:rPr>
          <w:rFonts w:ascii="宋体" w:hAnsi="宋体"/>
          <w:szCs w:val="21"/>
        </w:rPr>
        <w:t>[3.</w:t>
      </w:r>
      <w:r>
        <w:rPr>
          <w:rFonts w:hint="eastAsia" w:ascii="宋体" w:hAnsi="宋体"/>
          <w:szCs w:val="21"/>
        </w:rPr>
        <w:t>2一年以内的跟单国际信用证</w:t>
      </w:r>
      <w:r>
        <w:rPr>
          <w:rFonts w:ascii="宋体" w:hAnsi="宋体"/>
          <w:szCs w:val="21"/>
        </w:rPr>
        <w:t>]中的与贸易相关的其他短期或有负债。</w:t>
      </w:r>
    </w:p>
    <w:p>
      <w:pPr>
        <w:spacing w:line="440" w:lineRule="exact"/>
        <w:ind w:firstLine="420" w:firstLineChars="200"/>
        <w:rPr>
          <w:rFonts w:ascii="宋体" w:hAnsi="宋体"/>
          <w:szCs w:val="21"/>
        </w:rPr>
      </w:pPr>
      <w:r>
        <w:rPr>
          <w:rFonts w:ascii="宋体" w:hAnsi="宋体"/>
          <w:szCs w:val="21"/>
        </w:rPr>
        <w:t>[4.承诺]：是指填报机构在未来某一日期按照事先约定的条件向客户提供约定的信用业务</w:t>
      </w:r>
      <w:r>
        <w:rPr>
          <w:rFonts w:hint="eastAsia" w:ascii="宋体" w:hAnsi="宋体"/>
          <w:szCs w:val="21"/>
        </w:rPr>
        <w:t>，包括但不限于贷款承诺等。通常，填报机构</w:t>
      </w:r>
      <w:r>
        <w:rPr>
          <w:rFonts w:ascii="宋体" w:hAnsi="宋体"/>
          <w:szCs w:val="21"/>
        </w:rPr>
        <w:t>同客户签订具有法律约束力的合约，向客户做出在未来约定的有效期内，按商定的条款为该客户提供约定数额授信的承诺。</w:t>
      </w:r>
    </w:p>
    <w:p>
      <w:pPr>
        <w:spacing w:line="440" w:lineRule="exact"/>
        <w:ind w:firstLine="420" w:firstLineChars="200"/>
        <w:rPr>
          <w:rFonts w:ascii="宋体" w:hAnsi="宋体"/>
          <w:szCs w:val="21"/>
        </w:rPr>
      </w:pPr>
      <w:r>
        <w:rPr>
          <w:rFonts w:ascii="宋体" w:hAnsi="宋体"/>
          <w:szCs w:val="21"/>
        </w:rPr>
        <w:t>承诺的原始期限是指由承诺签发之日起到下列较早一个日期之间的时间间隔：（1）合约约定填报机构有权无条件</w:t>
      </w:r>
      <w:r>
        <w:rPr>
          <w:rFonts w:hint="eastAsia" w:ascii="宋体" w:hAnsi="宋体"/>
          <w:szCs w:val="21"/>
        </w:rPr>
        <w:t>撤销</w:t>
      </w:r>
      <w:r>
        <w:rPr>
          <w:rFonts w:ascii="宋体" w:hAnsi="宋体"/>
          <w:szCs w:val="21"/>
        </w:rPr>
        <w:t>该承诺之日，或（2）合约约定填报机构对授信承诺进行审核以决定是否继续提供未使用授信承诺之日。</w:t>
      </w:r>
    </w:p>
    <w:p>
      <w:pPr>
        <w:spacing w:line="440" w:lineRule="exact"/>
        <w:ind w:firstLine="420" w:firstLineChars="200"/>
        <w:rPr>
          <w:rFonts w:ascii="宋体" w:hAnsi="宋体"/>
          <w:szCs w:val="21"/>
        </w:rPr>
      </w:pPr>
      <w:r>
        <w:rPr>
          <w:rFonts w:ascii="宋体" w:hAnsi="宋体"/>
          <w:szCs w:val="21"/>
        </w:rPr>
        <w:t>[4.1可</w:t>
      </w:r>
      <w:r>
        <w:rPr>
          <w:rFonts w:hint="eastAsia" w:ascii="宋体" w:hAnsi="宋体"/>
          <w:szCs w:val="21"/>
        </w:rPr>
        <w:t>免于计量表外风险加权资产的可随时无条件撤销的贷款</w:t>
      </w:r>
      <w:r>
        <w:rPr>
          <w:rFonts w:ascii="宋体" w:hAnsi="宋体"/>
          <w:szCs w:val="21"/>
        </w:rPr>
        <w:t>承诺]：</w:t>
      </w:r>
      <w:r>
        <w:rPr>
          <w:rFonts w:hint="eastAsia" w:ascii="宋体" w:hAnsi="宋体"/>
          <w:szCs w:val="21"/>
        </w:rPr>
        <w:t>可免于计量表外项目风险加权资产的可随时无条件撤销的贷款承诺应满足的条件参见《办法》附件3。</w:t>
      </w:r>
    </w:p>
    <w:p>
      <w:pPr>
        <w:spacing w:line="440" w:lineRule="exact"/>
        <w:ind w:firstLine="420" w:firstLineChars="200"/>
        <w:rPr>
          <w:rFonts w:ascii="宋体" w:hAnsi="宋体"/>
          <w:szCs w:val="21"/>
        </w:rPr>
      </w:pPr>
      <w:r>
        <w:rPr>
          <w:rFonts w:hint="eastAsia" w:ascii="宋体" w:hAnsi="宋体"/>
          <w:szCs w:val="21"/>
        </w:rPr>
        <w:t>可随时无条件撤销的贷款承诺是指填报机构</w:t>
      </w:r>
      <w:r>
        <w:rPr>
          <w:rFonts w:ascii="宋体" w:hAnsi="宋体"/>
          <w:szCs w:val="21"/>
        </w:rPr>
        <w:t>在协议中列明，无需事先通知、有权随时撤销，或由于借款人的信用状况恶化，可以有效自动撤销的</w:t>
      </w:r>
      <w:r>
        <w:rPr>
          <w:rFonts w:hint="eastAsia" w:ascii="宋体" w:hAnsi="宋体"/>
          <w:szCs w:val="21"/>
        </w:rPr>
        <w:t>贷款</w:t>
      </w:r>
      <w:r>
        <w:rPr>
          <w:rFonts w:ascii="宋体" w:hAnsi="宋体"/>
          <w:szCs w:val="21"/>
        </w:rPr>
        <w:t>承诺。商业银行</w:t>
      </w:r>
      <w:r>
        <w:rPr>
          <w:rFonts w:hint="eastAsia" w:ascii="宋体" w:hAnsi="宋体"/>
          <w:szCs w:val="21"/>
        </w:rPr>
        <w:t>应</w:t>
      </w:r>
      <w:r>
        <w:rPr>
          <w:rFonts w:ascii="宋体" w:hAnsi="宋体"/>
          <w:szCs w:val="21"/>
        </w:rPr>
        <w:t>证明其能够积极监控借款人的财务状况，并且其内控系统足以保证在借款人信用状况恶化时能够</w:t>
      </w:r>
      <w:r>
        <w:rPr>
          <w:rFonts w:hint="eastAsia" w:ascii="宋体" w:hAnsi="宋体"/>
          <w:szCs w:val="21"/>
        </w:rPr>
        <w:t>撤销贷款</w:t>
      </w:r>
      <w:r>
        <w:rPr>
          <w:rFonts w:ascii="宋体" w:hAnsi="宋体"/>
          <w:szCs w:val="21"/>
        </w:rPr>
        <w:t>承诺。</w:t>
      </w:r>
    </w:p>
    <w:p>
      <w:pPr>
        <w:spacing w:line="440" w:lineRule="exact"/>
        <w:ind w:firstLine="420" w:firstLineChars="200"/>
        <w:rPr>
          <w:rFonts w:ascii="宋体" w:hAnsi="宋体"/>
          <w:szCs w:val="21"/>
        </w:rPr>
      </w:pPr>
      <w:r>
        <w:rPr>
          <w:rFonts w:hint="eastAsia" w:ascii="宋体" w:hAnsi="宋体"/>
          <w:szCs w:val="21"/>
        </w:rPr>
        <w:t>[</w:t>
      </w:r>
      <w:r>
        <w:rPr>
          <w:rFonts w:ascii="宋体" w:hAnsi="宋体"/>
          <w:szCs w:val="21"/>
        </w:rPr>
        <w:t>4.2可随时无条件撤销的贷款承诺</w:t>
      </w:r>
      <w:r>
        <w:rPr>
          <w:rFonts w:hint="eastAsia" w:ascii="宋体" w:hAnsi="宋体"/>
          <w:szCs w:val="21"/>
        </w:rPr>
        <w:t>]：是指除</w:t>
      </w:r>
      <w:r>
        <w:rPr>
          <w:rFonts w:ascii="宋体" w:hAnsi="宋体"/>
          <w:szCs w:val="21"/>
        </w:rPr>
        <w:t>[4.1可</w:t>
      </w:r>
      <w:r>
        <w:rPr>
          <w:rFonts w:hint="eastAsia" w:ascii="宋体" w:hAnsi="宋体"/>
          <w:szCs w:val="21"/>
        </w:rPr>
        <w:t>免于计量表外风险加权资产的</w:t>
      </w:r>
      <w:r>
        <w:rPr>
          <w:rFonts w:ascii="宋体" w:hAnsi="宋体"/>
          <w:szCs w:val="21"/>
        </w:rPr>
        <w:t>贷款承诺]</w:t>
      </w:r>
      <w:r>
        <w:rPr>
          <w:rFonts w:hint="eastAsia" w:ascii="宋体" w:hAnsi="宋体"/>
          <w:szCs w:val="21"/>
        </w:rPr>
        <w:t>外的其他</w:t>
      </w:r>
      <w:r>
        <w:rPr>
          <w:rFonts w:ascii="宋体" w:hAnsi="宋体"/>
          <w:szCs w:val="21"/>
        </w:rPr>
        <w:t>可随时无条件撤销的贷款承诺</w:t>
      </w:r>
      <w:r>
        <w:rPr>
          <w:rFonts w:hint="eastAsia" w:ascii="宋体" w:hAnsi="宋体"/>
          <w:szCs w:val="21"/>
        </w:rPr>
        <w:t>。</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3其他贷款承诺</w:t>
      </w:r>
      <w:r>
        <w:rPr>
          <w:rFonts w:ascii="宋体" w:hAnsi="宋体"/>
          <w:szCs w:val="21"/>
        </w:rPr>
        <w:t>]：</w:t>
      </w:r>
      <w:r>
        <w:rPr>
          <w:rFonts w:hint="eastAsia" w:ascii="宋体" w:hAnsi="宋体"/>
          <w:szCs w:val="21"/>
        </w:rPr>
        <w:t>是指除</w:t>
      </w:r>
      <w:r>
        <w:rPr>
          <w:rFonts w:ascii="宋体" w:hAnsi="宋体"/>
          <w:szCs w:val="21"/>
        </w:rPr>
        <w:t>[4.1可</w:t>
      </w:r>
      <w:r>
        <w:rPr>
          <w:rFonts w:hint="eastAsia" w:ascii="宋体" w:hAnsi="宋体"/>
          <w:szCs w:val="21"/>
        </w:rPr>
        <w:t>免于计量表外风险加权资产的</w:t>
      </w:r>
      <w:r>
        <w:rPr>
          <w:rFonts w:ascii="宋体" w:hAnsi="宋体"/>
          <w:szCs w:val="21"/>
        </w:rPr>
        <w:t>贷款承诺]</w:t>
      </w:r>
      <w:r>
        <w:rPr>
          <w:rFonts w:hint="eastAsia" w:ascii="宋体" w:hAnsi="宋体"/>
          <w:szCs w:val="21"/>
        </w:rPr>
        <w:t>、[</w:t>
      </w:r>
      <w:r>
        <w:rPr>
          <w:rFonts w:ascii="宋体" w:hAnsi="宋体"/>
          <w:szCs w:val="21"/>
        </w:rPr>
        <w:t>4.2可随时无条件撤销的贷款承诺</w:t>
      </w:r>
      <w:r>
        <w:rPr>
          <w:rFonts w:hint="eastAsia" w:ascii="宋体" w:hAnsi="宋体"/>
          <w:szCs w:val="21"/>
        </w:rPr>
        <w:t>]外的其他贷款承诺，包括</w:t>
      </w:r>
      <w:r>
        <w:rPr>
          <w:rFonts w:ascii="宋体" w:hAnsi="宋体"/>
          <w:szCs w:val="21"/>
        </w:rPr>
        <w:t>有条件撤销或不可撤销的贷款承诺。</w:t>
      </w:r>
    </w:p>
    <w:p>
      <w:pPr>
        <w:spacing w:line="440" w:lineRule="exact"/>
        <w:ind w:firstLine="420" w:firstLineChars="200"/>
        <w:rPr>
          <w:rFonts w:ascii="宋体" w:hAnsi="宋体"/>
        </w:rPr>
      </w:pPr>
      <w:r>
        <w:rPr>
          <w:rFonts w:ascii="宋体" w:hAnsi="宋体"/>
          <w:szCs w:val="21"/>
        </w:rPr>
        <w:t>[</w:t>
      </w:r>
      <w:r>
        <w:rPr>
          <w:rFonts w:hint="eastAsia" w:ascii="宋体" w:hAnsi="宋体"/>
          <w:szCs w:val="21"/>
        </w:rPr>
        <w:t>4.4未使用的信用卡授信额度</w:t>
      </w:r>
      <w:r>
        <w:rPr>
          <w:rFonts w:ascii="宋体" w:hAnsi="宋体"/>
          <w:szCs w:val="21"/>
        </w:rPr>
        <w:t>]：是指填报机构对</w:t>
      </w:r>
      <w:r>
        <w:rPr>
          <w:rFonts w:hint="eastAsia" w:ascii="宋体" w:hAnsi="宋体"/>
          <w:szCs w:val="21"/>
        </w:rPr>
        <w:t>客户的</w:t>
      </w:r>
      <w:r>
        <w:rPr>
          <w:rFonts w:ascii="宋体" w:hAnsi="宋体"/>
          <w:szCs w:val="21"/>
        </w:rPr>
        <w:t>信用卡授信额度中，客户可以使用但尚未使用的授信额度。</w:t>
      </w:r>
    </w:p>
    <w:p>
      <w:pPr>
        <w:spacing w:line="440" w:lineRule="exact"/>
        <w:ind w:firstLine="420" w:firstLineChars="200"/>
        <w:rPr>
          <w:rFonts w:ascii="宋体" w:hAnsi="宋体"/>
          <w:szCs w:val="21"/>
        </w:rPr>
      </w:pPr>
      <w:r>
        <w:rPr>
          <w:rFonts w:ascii="宋体" w:hAnsi="宋体"/>
          <w:szCs w:val="21"/>
        </w:rPr>
        <w:t>根据《商业银行信用卡业务监督管理办法》，信用卡是指记录持卡人账户信息，具备银行授信额度和透支功能，并</w:t>
      </w:r>
      <w:r>
        <w:rPr>
          <w:rFonts w:hint="eastAsia" w:ascii="宋体" w:hAnsi="宋体"/>
          <w:szCs w:val="21"/>
        </w:rPr>
        <w:t>为</w:t>
      </w:r>
      <w:r>
        <w:rPr>
          <w:rFonts w:ascii="宋体" w:hAnsi="宋体"/>
          <w:szCs w:val="21"/>
        </w:rPr>
        <w:t>持卡人提供相关银行服务的各种介质，包括信用卡、贷记卡、准贷记卡。按照发行对象不同，分为个人卡和单位卡，其中，单位卡包括商务差旅卡和商务采购卡，个人卡包括对教育机构脱产就读的学生发放的信用卡。</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4</w:t>
      </w:r>
      <w:r>
        <w:rPr>
          <w:rFonts w:ascii="宋体" w:hAnsi="宋体"/>
          <w:szCs w:val="21"/>
        </w:rPr>
        <w:t>.1符合标准的未使用额度]：同时满足以下条件的未使用的信用卡授信额度为</w:t>
      </w:r>
      <w:r>
        <w:rPr>
          <w:rFonts w:hint="eastAsia" w:ascii="宋体" w:hAnsi="宋体"/>
          <w:szCs w:val="21"/>
        </w:rPr>
        <w:t>“</w:t>
      </w:r>
      <w:r>
        <w:rPr>
          <w:rFonts w:ascii="宋体" w:hAnsi="宋体"/>
          <w:szCs w:val="21"/>
        </w:rPr>
        <w:t>符合标准的未使用额度</w:t>
      </w:r>
      <w:r>
        <w:rPr>
          <w:rFonts w:hint="eastAsia" w:ascii="宋体" w:hAnsi="宋体"/>
          <w:szCs w:val="21"/>
        </w:rPr>
        <w:t>”</w:t>
      </w:r>
      <w:r>
        <w:rPr>
          <w:rFonts w:ascii="宋体" w:hAnsi="宋体"/>
          <w:szCs w:val="21"/>
        </w:rPr>
        <w:t>。具体条件包括：（1）授信对象为自然人，授信方式为无担保循环授信，（2）对同一</w:t>
      </w:r>
      <w:r>
        <w:rPr>
          <w:rFonts w:hint="eastAsia" w:ascii="宋体" w:hAnsi="宋体"/>
          <w:szCs w:val="21"/>
        </w:rPr>
        <w:t>持卡人</w:t>
      </w:r>
      <w:r>
        <w:rPr>
          <w:rFonts w:ascii="宋体" w:hAnsi="宋体"/>
          <w:szCs w:val="21"/>
        </w:rPr>
        <w:t>的授信额度</w:t>
      </w:r>
      <w:r>
        <w:rPr>
          <w:rFonts w:hint="eastAsia" w:ascii="宋体" w:hAnsi="宋体"/>
          <w:szCs w:val="21"/>
        </w:rPr>
        <w:t>合计</w:t>
      </w:r>
      <w:r>
        <w:rPr>
          <w:rFonts w:ascii="宋体" w:hAnsi="宋体"/>
          <w:szCs w:val="21"/>
        </w:rPr>
        <w:t>不超过100万人民币，（3）商业银行应至少每年一次评估</w:t>
      </w:r>
      <w:r>
        <w:rPr>
          <w:rFonts w:hint="eastAsia" w:ascii="宋体" w:hAnsi="宋体"/>
          <w:szCs w:val="21"/>
        </w:rPr>
        <w:t>持卡人</w:t>
      </w:r>
      <w:r>
        <w:rPr>
          <w:rFonts w:ascii="宋体" w:hAnsi="宋体"/>
          <w:szCs w:val="21"/>
        </w:rPr>
        <w:t>的信用程度，按季监控授信额度的使用情况；若</w:t>
      </w:r>
      <w:r>
        <w:rPr>
          <w:rFonts w:hint="eastAsia" w:ascii="宋体" w:hAnsi="宋体"/>
          <w:szCs w:val="21"/>
        </w:rPr>
        <w:t>持卡人</w:t>
      </w:r>
      <w:r>
        <w:rPr>
          <w:rFonts w:ascii="宋体" w:hAnsi="宋体"/>
          <w:szCs w:val="21"/>
        </w:rPr>
        <w:t>信用状况恶化，商业银行有权降低甚至取消授信额度。</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4</w:t>
      </w:r>
      <w:r>
        <w:rPr>
          <w:rFonts w:ascii="宋体" w:hAnsi="宋体"/>
          <w:szCs w:val="21"/>
        </w:rPr>
        <w:t>.</w:t>
      </w:r>
      <w:r>
        <w:rPr>
          <w:rFonts w:hint="eastAsia" w:ascii="宋体" w:hAnsi="宋体"/>
          <w:szCs w:val="21"/>
        </w:rPr>
        <w:t>2一般未使用额度</w:t>
      </w:r>
      <w:r>
        <w:rPr>
          <w:rFonts w:ascii="宋体" w:hAnsi="宋体"/>
          <w:szCs w:val="21"/>
        </w:rPr>
        <w:t>]：是指未归类在[4.</w:t>
      </w:r>
      <w:r>
        <w:rPr>
          <w:rFonts w:hint="eastAsia" w:ascii="宋体" w:hAnsi="宋体"/>
          <w:szCs w:val="21"/>
        </w:rPr>
        <w:t>4</w:t>
      </w:r>
      <w:r>
        <w:rPr>
          <w:rFonts w:ascii="宋体" w:hAnsi="宋体"/>
          <w:szCs w:val="21"/>
        </w:rPr>
        <w:t>.1符合标准的未使用额度]中的未使用的</w:t>
      </w:r>
      <w:r>
        <w:rPr>
          <w:rFonts w:hint="eastAsia" w:ascii="宋体" w:hAnsi="宋体"/>
          <w:szCs w:val="21"/>
        </w:rPr>
        <w:t>信用卡</w:t>
      </w:r>
      <w:r>
        <w:rPr>
          <w:rFonts w:ascii="宋体" w:hAnsi="宋体"/>
          <w:szCs w:val="21"/>
        </w:rPr>
        <w:t>授信额度。</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5</w:t>
      </w:r>
      <w:r>
        <w:rPr>
          <w:rFonts w:ascii="宋体" w:hAnsi="宋体"/>
          <w:szCs w:val="21"/>
        </w:rPr>
        <w:t>票据发行便利]：是指有法律约束力的原始期限在一年以上（不含一年）的中期授信承诺。根据这种承诺，受信人（票据发行人）可以用自己的名义发行短期票据，而授信人（包销银行）则需承担已承诺的授信额度内的票据包买和给予备用信贷，以使票据发行工作能顺利完成，筹到必要的资金。</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6</w:t>
      </w:r>
      <w:r>
        <w:rPr>
          <w:rFonts w:ascii="宋体" w:hAnsi="宋体"/>
          <w:szCs w:val="21"/>
        </w:rPr>
        <w:t>循环认购便利]：是指原始期限在一年以上（不含一年）的银行保证证券承销机构在一定额度内可以循环承销的融资额度，银行负责承销未能售出的全部证券或提供等额的备用信贷。</w:t>
      </w:r>
    </w:p>
    <w:p>
      <w:pPr>
        <w:spacing w:line="440" w:lineRule="exact"/>
        <w:ind w:firstLine="420" w:firstLineChars="200"/>
        <w:rPr>
          <w:rFonts w:ascii="宋体" w:hAnsi="宋体"/>
          <w:szCs w:val="21"/>
        </w:rPr>
      </w:pPr>
      <w:r>
        <w:rPr>
          <w:rFonts w:ascii="宋体" w:hAnsi="宋体"/>
          <w:szCs w:val="21"/>
        </w:rPr>
        <w:t>[4.</w:t>
      </w:r>
      <w:r>
        <w:rPr>
          <w:rFonts w:hint="eastAsia" w:ascii="宋体" w:hAnsi="宋体"/>
          <w:szCs w:val="21"/>
        </w:rPr>
        <w:t>7</w:t>
      </w:r>
      <w:r>
        <w:rPr>
          <w:rFonts w:ascii="宋体" w:hAnsi="宋体"/>
          <w:szCs w:val="21"/>
        </w:rPr>
        <w:t>其他承诺]：是指不能归入[4.1可</w:t>
      </w:r>
      <w:r>
        <w:rPr>
          <w:rFonts w:hint="eastAsia" w:ascii="宋体" w:hAnsi="宋体"/>
          <w:szCs w:val="21"/>
        </w:rPr>
        <w:t>免于计量表外风险加权资产的</w:t>
      </w:r>
      <w:r>
        <w:rPr>
          <w:rFonts w:ascii="宋体" w:hAnsi="宋体"/>
          <w:szCs w:val="21"/>
        </w:rPr>
        <w:t>贷款承诺]</w:t>
      </w:r>
      <w:r>
        <w:rPr>
          <w:rFonts w:hint="eastAsia" w:ascii="宋体" w:hAnsi="宋体"/>
          <w:szCs w:val="21"/>
        </w:rPr>
        <w:t>至</w:t>
      </w:r>
      <w:r>
        <w:rPr>
          <w:rFonts w:ascii="宋体" w:hAnsi="宋体"/>
          <w:szCs w:val="21"/>
        </w:rPr>
        <w:t>[4.</w:t>
      </w:r>
      <w:r>
        <w:rPr>
          <w:rFonts w:hint="eastAsia" w:ascii="宋体" w:hAnsi="宋体"/>
          <w:szCs w:val="21"/>
        </w:rPr>
        <w:t>6</w:t>
      </w:r>
      <w:r>
        <w:rPr>
          <w:rFonts w:ascii="宋体" w:hAnsi="宋体"/>
          <w:szCs w:val="21"/>
        </w:rPr>
        <w:t>循环认购便利]的承诺。</w:t>
      </w:r>
    </w:p>
    <w:p>
      <w:pPr>
        <w:spacing w:line="440" w:lineRule="exact"/>
        <w:ind w:firstLine="420" w:firstLineChars="200"/>
        <w:rPr>
          <w:rFonts w:ascii="宋体" w:hAnsi="宋体"/>
          <w:szCs w:val="21"/>
        </w:rPr>
      </w:pPr>
      <w:r>
        <w:rPr>
          <w:rFonts w:ascii="宋体" w:hAnsi="宋体"/>
          <w:szCs w:val="21"/>
        </w:rPr>
        <w:t>[5.信用风险仍在银行的销售与购买协议]：包括资产回购协议和有追索权的资产销售。</w:t>
      </w:r>
    </w:p>
    <w:p>
      <w:pPr>
        <w:spacing w:line="440" w:lineRule="exact"/>
        <w:ind w:firstLine="420" w:firstLineChars="200"/>
        <w:rPr>
          <w:rFonts w:ascii="宋体" w:hAnsi="宋体"/>
          <w:szCs w:val="21"/>
        </w:rPr>
      </w:pPr>
      <w:r>
        <w:rPr>
          <w:rFonts w:ascii="宋体" w:hAnsi="宋体"/>
          <w:szCs w:val="21"/>
        </w:rPr>
        <w:t>[5.1资产回购协议]：是指未在资产负债表中确认的、资产卖出方承诺在一定条件下回购已售出资产的协议。</w:t>
      </w:r>
    </w:p>
    <w:p>
      <w:pPr>
        <w:spacing w:line="440" w:lineRule="exact"/>
        <w:ind w:firstLine="420" w:firstLineChars="200"/>
        <w:rPr>
          <w:rFonts w:ascii="宋体" w:hAnsi="宋体"/>
          <w:szCs w:val="21"/>
        </w:rPr>
      </w:pPr>
      <w:r>
        <w:rPr>
          <w:rFonts w:ascii="宋体" w:hAnsi="宋体"/>
          <w:szCs w:val="21"/>
        </w:rPr>
        <w:t>[5.2有追索权的资产销售]：是指填报机构作为资产销售的卖方，在出售某项资产后仍需承担被交易买方索偿的风险，且此风险未在资产负债表中确认（出售无追索权的资产时，填报机构不承担风险）。包括贷款出售、信贷资产转让（转出方）、票据资产转贴现、再贴现卖出未到期部分。</w:t>
      </w:r>
    </w:p>
    <w:p>
      <w:pPr>
        <w:spacing w:line="440" w:lineRule="exact"/>
        <w:ind w:firstLine="420" w:firstLineChars="200"/>
        <w:rPr>
          <w:rFonts w:ascii="宋体" w:hAnsi="宋体"/>
          <w:szCs w:val="21"/>
        </w:rPr>
      </w:pPr>
      <w:r>
        <w:rPr>
          <w:rFonts w:ascii="宋体" w:hAnsi="宋体"/>
          <w:szCs w:val="21"/>
        </w:rPr>
        <w:t>[5.2</w:t>
      </w:r>
      <w:r>
        <w:rPr>
          <w:rFonts w:hint="eastAsia" w:ascii="宋体" w:hAnsi="宋体"/>
          <w:szCs w:val="21"/>
        </w:rPr>
        <w:t>.1主协议下银票转贴现</w:t>
      </w:r>
      <w:r>
        <w:rPr>
          <w:rFonts w:ascii="宋体" w:hAnsi="宋体"/>
          <w:szCs w:val="21"/>
        </w:rPr>
        <w:t>]</w:t>
      </w:r>
      <w:r>
        <w:rPr>
          <w:rFonts w:hint="eastAsia" w:ascii="宋体" w:hAnsi="宋体"/>
          <w:szCs w:val="21"/>
        </w:rPr>
        <w:t>：签订上海票据交易所《票据交易主协议》的填报机构，在银行承兑汇票未到期前，转贴现卖出票据按照20%CCF计提信用风险加权资产。其中，若填报机构属于承兑人的保证人、贴现人、贴现人的保证人（若有）及贴现人前手背书人（非开票行），则转贴现卖出银票应按照100%CCF计提信用风险加权资产，并填在</w:t>
      </w:r>
      <w:r>
        <w:rPr>
          <w:rFonts w:ascii="宋体" w:hAnsi="宋体"/>
          <w:szCs w:val="21"/>
        </w:rPr>
        <w:t>[5.2</w:t>
      </w:r>
      <w:r>
        <w:rPr>
          <w:rFonts w:hint="eastAsia" w:ascii="宋体" w:hAnsi="宋体"/>
          <w:szCs w:val="21"/>
        </w:rPr>
        <w:t>.2其他</w:t>
      </w:r>
      <w:r>
        <w:rPr>
          <w:rFonts w:ascii="宋体" w:hAnsi="宋体"/>
          <w:szCs w:val="21"/>
        </w:rPr>
        <w:t>有追索权的资产销售]</w:t>
      </w:r>
      <w:r>
        <w:rPr>
          <w:rFonts w:hint="eastAsia" w:ascii="宋体" w:hAnsi="宋体"/>
          <w:szCs w:val="21"/>
        </w:rPr>
        <w:t>中；若填报机构为银票承兑行，自开自贴票据后转贴现卖出，无需再额外计提信用风险加权资产。</w:t>
      </w:r>
    </w:p>
    <w:p>
      <w:pPr>
        <w:spacing w:line="440" w:lineRule="exact"/>
        <w:ind w:firstLine="420" w:firstLineChars="200"/>
        <w:rPr>
          <w:rFonts w:ascii="宋体" w:hAnsi="宋体"/>
          <w:szCs w:val="21"/>
        </w:rPr>
      </w:pPr>
      <w:r>
        <w:rPr>
          <w:rFonts w:ascii="宋体" w:hAnsi="宋体"/>
          <w:szCs w:val="21"/>
        </w:rPr>
        <w:t>[5.2</w:t>
      </w:r>
      <w:r>
        <w:rPr>
          <w:rFonts w:hint="eastAsia" w:ascii="宋体" w:hAnsi="宋体"/>
          <w:szCs w:val="21"/>
        </w:rPr>
        <w:t>.2其他</w:t>
      </w:r>
      <w:r>
        <w:rPr>
          <w:rFonts w:ascii="宋体" w:hAnsi="宋体"/>
          <w:szCs w:val="21"/>
        </w:rPr>
        <w:t>有追索权的资产销售]</w:t>
      </w:r>
      <w:r>
        <w:rPr>
          <w:rFonts w:hint="eastAsia" w:ascii="宋体" w:hAnsi="宋体"/>
          <w:szCs w:val="21"/>
        </w:rPr>
        <w:t>：</w:t>
      </w:r>
      <w:r>
        <w:rPr>
          <w:rFonts w:ascii="宋体" w:hAnsi="宋体"/>
          <w:szCs w:val="21"/>
        </w:rPr>
        <w:t>是指</w:t>
      </w:r>
      <w:r>
        <w:rPr>
          <w:rFonts w:hint="eastAsia" w:ascii="宋体" w:hAnsi="宋体"/>
          <w:szCs w:val="21"/>
        </w:rPr>
        <w:t>除</w:t>
      </w:r>
      <w:r>
        <w:rPr>
          <w:rFonts w:ascii="宋体" w:hAnsi="宋体"/>
          <w:szCs w:val="21"/>
        </w:rPr>
        <w:t>[5.2</w:t>
      </w:r>
      <w:r>
        <w:rPr>
          <w:rFonts w:hint="eastAsia" w:ascii="宋体" w:hAnsi="宋体"/>
          <w:szCs w:val="21"/>
        </w:rPr>
        <w:t>.1主协议下银票转贴现</w:t>
      </w:r>
      <w:r>
        <w:rPr>
          <w:rFonts w:ascii="宋体" w:hAnsi="宋体"/>
          <w:szCs w:val="21"/>
        </w:rPr>
        <w:t>]</w:t>
      </w:r>
      <w:r>
        <w:rPr>
          <w:rFonts w:hint="eastAsia" w:ascii="宋体" w:hAnsi="宋体"/>
          <w:szCs w:val="21"/>
        </w:rPr>
        <w:t>外，</w:t>
      </w:r>
      <w:r>
        <w:rPr>
          <w:rFonts w:ascii="宋体" w:hAnsi="宋体"/>
          <w:szCs w:val="21"/>
        </w:rPr>
        <w:t>填报机构在出售某项资产后仍需承担被交易买方索偿的风险。</w:t>
      </w:r>
    </w:p>
    <w:p>
      <w:pPr>
        <w:spacing w:line="440" w:lineRule="exact"/>
        <w:ind w:firstLine="420" w:firstLineChars="200"/>
        <w:rPr>
          <w:rFonts w:ascii="宋体" w:hAnsi="宋体"/>
          <w:szCs w:val="21"/>
        </w:rPr>
      </w:pPr>
      <w:r>
        <w:rPr>
          <w:rFonts w:ascii="宋体" w:hAnsi="宋体"/>
          <w:szCs w:val="21"/>
        </w:rPr>
        <w:t>[6.远期资产</w:t>
      </w:r>
      <w:r>
        <w:rPr>
          <w:rFonts w:hint="eastAsia" w:ascii="宋体" w:hAnsi="宋体"/>
          <w:szCs w:val="21"/>
        </w:rPr>
        <w:t>购买</w:t>
      </w:r>
      <w:r>
        <w:rPr>
          <w:rFonts w:ascii="宋体" w:hAnsi="宋体"/>
          <w:szCs w:val="21"/>
        </w:rPr>
        <w:t>]：是指填报机构</w:t>
      </w:r>
      <w:r>
        <w:rPr>
          <w:rFonts w:hint="eastAsia" w:ascii="宋体" w:hAnsi="宋体"/>
          <w:szCs w:val="21"/>
        </w:rPr>
        <w:t>承诺在未来指定时间以预定条件从第三方购买贷款、证券或其他资产。</w:t>
      </w:r>
    </w:p>
    <w:p>
      <w:pPr>
        <w:spacing w:line="440" w:lineRule="exact"/>
        <w:ind w:firstLine="420" w:firstLineChars="200"/>
        <w:rPr>
          <w:rFonts w:ascii="宋体" w:hAnsi="宋体"/>
          <w:szCs w:val="21"/>
        </w:rPr>
      </w:pPr>
      <w:r>
        <w:rPr>
          <w:rFonts w:ascii="宋体" w:hAnsi="宋体"/>
          <w:szCs w:val="21"/>
        </w:rPr>
        <w:t>[7.远期定期存款]：指填报机构和交易对手达成的一个协议。在预定未来某日，填报机构根据协议，以事先约定的利率</w:t>
      </w:r>
      <w:r>
        <w:rPr>
          <w:rFonts w:hint="eastAsia" w:ascii="宋体" w:hAnsi="宋体"/>
          <w:szCs w:val="21"/>
        </w:rPr>
        <w:t>存放</w:t>
      </w:r>
      <w:r>
        <w:rPr>
          <w:rFonts w:ascii="宋体" w:hAnsi="宋体"/>
          <w:szCs w:val="21"/>
        </w:rPr>
        <w:t>交易对手的存款。</w:t>
      </w:r>
    </w:p>
    <w:p>
      <w:pPr>
        <w:spacing w:line="440" w:lineRule="exact"/>
        <w:ind w:firstLine="420" w:firstLineChars="200"/>
        <w:rPr>
          <w:rFonts w:ascii="宋体" w:hAnsi="宋体"/>
          <w:szCs w:val="21"/>
        </w:rPr>
      </w:pPr>
      <w:r>
        <w:rPr>
          <w:rFonts w:ascii="宋体" w:hAnsi="宋体"/>
          <w:szCs w:val="21"/>
        </w:rPr>
        <w:t>[8.部分交款的股票及证券]：填报机构与交易对手达成股票或证券购买协议，商定了股票和证券的价格和结算方式，在款项尚未结清期间，按会计准则，不能计入表内的这部分股票和证券。</w:t>
      </w:r>
    </w:p>
    <w:p>
      <w:pPr>
        <w:spacing w:line="440" w:lineRule="exact"/>
        <w:ind w:firstLine="420" w:firstLineChars="200"/>
        <w:rPr>
          <w:rFonts w:ascii="宋体" w:hAnsi="宋体"/>
          <w:szCs w:val="21"/>
        </w:rPr>
      </w:pPr>
      <w:r>
        <w:rPr>
          <w:rFonts w:ascii="宋体" w:hAnsi="宋体"/>
          <w:szCs w:val="21"/>
        </w:rPr>
        <w:t>[9.银行借出的证券或用作抵押物的证券]：填报机构由于融资需要或其他目的，向交易对手借出自身所持有的证券，或为完成其他业务而用证券作为抵押物的证券。这部分证券</w:t>
      </w:r>
      <w:r>
        <w:rPr>
          <w:rFonts w:hint="eastAsia" w:ascii="宋体" w:hAnsi="宋体"/>
          <w:szCs w:val="21"/>
        </w:rPr>
        <w:t>是指填报机构按会计准则不计入资产负债表，所有权已经发生转移，但根据填报机构与交易对手签署的协议，在证券借出协议结束或用作抵押物的业务结束后，将可能重新持有的证券。在借出期间或抵押中，填报机构需在表外计算这些证券的信用风险</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[10.其他表外项目]：是指未包含在以上统计项目中且应进行风险加权的其他类型表外业务。</w:t>
      </w:r>
    </w:p>
    <w:p>
      <w:pPr>
        <w:spacing w:line="440" w:lineRule="exact"/>
        <w:ind w:firstLine="420" w:firstLineChars="200"/>
        <w:rPr>
          <w:rFonts w:ascii="宋体" w:hAnsi="宋体"/>
          <w:szCs w:val="21"/>
        </w:rPr>
      </w:pPr>
      <w:r>
        <w:rPr>
          <w:rFonts w:ascii="宋体" w:hAnsi="宋体"/>
          <w:szCs w:val="21"/>
        </w:rPr>
        <w:t>[10.1一年期以上的跟单信用证]：</w:t>
      </w:r>
      <w:r>
        <w:rPr>
          <w:rFonts w:hint="eastAsia" w:ascii="宋体" w:hAnsi="宋体"/>
          <w:szCs w:val="21"/>
        </w:rPr>
        <w:t>是指</w:t>
      </w:r>
      <w:r>
        <w:rPr>
          <w:rFonts w:ascii="宋体" w:hAnsi="宋体"/>
          <w:szCs w:val="21"/>
        </w:rPr>
        <w:t>有效期在一年以上的</w:t>
      </w:r>
      <w:r>
        <w:rPr>
          <w:rFonts w:hint="eastAsia" w:ascii="宋体" w:hAnsi="宋体"/>
          <w:szCs w:val="21"/>
        </w:rPr>
        <w:t>跟单</w:t>
      </w:r>
      <w:r>
        <w:rPr>
          <w:rFonts w:ascii="宋体" w:hAnsi="宋体"/>
          <w:szCs w:val="21"/>
        </w:rPr>
        <w:t>信用证。</w:t>
      </w:r>
    </w:p>
    <w:p>
      <w:pPr>
        <w:spacing w:line="440" w:lineRule="exact"/>
        <w:ind w:firstLine="420" w:firstLineChars="200"/>
        <w:rPr>
          <w:rFonts w:ascii="宋体" w:hAnsi="宋体"/>
          <w:szCs w:val="21"/>
        </w:rPr>
      </w:pPr>
      <w:r>
        <w:rPr>
          <w:rFonts w:ascii="宋体" w:hAnsi="宋体"/>
          <w:szCs w:val="21"/>
        </w:rPr>
        <w:t>[10.2其他]：是指[10.其他表外项目]中除[10.1一年期以上的跟单信用证]以外的表外项目，包括</w:t>
      </w:r>
      <w:r>
        <w:rPr>
          <w:rFonts w:hint="eastAsia" w:ascii="宋体" w:hAnsi="宋体"/>
          <w:szCs w:val="21"/>
        </w:rPr>
        <w:t>填报机构在</w:t>
      </w:r>
      <w:r>
        <w:rPr>
          <w:rFonts w:ascii="宋体" w:hAnsi="宋体"/>
          <w:szCs w:val="21"/>
        </w:rPr>
        <w:t>银行</w:t>
      </w:r>
      <w:r>
        <w:rPr>
          <w:rFonts w:hint="eastAsia" w:ascii="宋体" w:hAnsi="宋体"/>
          <w:szCs w:val="21"/>
          <w:lang w:eastAsia="zh-CN"/>
        </w:rPr>
        <w:t>账簿</w:t>
      </w:r>
      <w:r>
        <w:rPr>
          <w:rFonts w:ascii="宋体" w:hAnsi="宋体"/>
          <w:szCs w:val="21"/>
        </w:rPr>
        <w:t>下销售</w:t>
      </w:r>
      <w:r>
        <w:rPr>
          <w:rFonts w:hint="eastAsia" w:ascii="宋体" w:hAnsi="宋体"/>
          <w:szCs w:val="21"/>
        </w:rPr>
        <w:t>并</w:t>
      </w:r>
      <w:r>
        <w:rPr>
          <w:rFonts w:ascii="宋体" w:hAnsi="宋体"/>
          <w:szCs w:val="21"/>
        </w:rPr>
        <w:t>用于保证的信用违约互换（CDS）。</w:t>
      </w:r>
    </w:p>
    <w:p>
      <w:pPr>
        <w:spacing w:line="440" w:lineRule="exact"/>
        <w:ind w:firstLine="420" w:firstLineChars="200"/>
        <w:rPr>
          <w:rFonts w:ascii="宋体" w:hAnsi="宋体"/>
          <w:szCs w:val="21"/>
        </w:rPr>
      </w:pPr>
      <w:r>
        <w:rPr>
          <w:rFonts w:ascii="宋体" w:hAnsi="宋体"/>
          <w:szCs w:val="21"/>
        </w:rPr>
        <w:t>[11.资产证券化表外项目]：参与资产证券化业务的机构应根据</w:t>
      </w:r>
      <w:r>
        <w:rPr>
          <w:rFonts w:hint="eastAsia" w:ascii="宋体" w:hAnsi="宋体"/>
          <w:szCs w:val="21"/>
        </w:rPr>
        <w:t>《办法》附件11的</w:t>
      </w:r>
      <w:r>
        <w:rPr>
          <w:rFonts w:ascii="宋体" w:hAnsi="宋体"/>
          <w:szCs w:val="21"/>
        </w:rPr>
        <w:t>要求，填报《</w:t>
      </w:r>
      <w:r>
        <w:rPr>
          <w:rFonts w:hint="eastAsia" w:ascii="宋体" w:hAnsi="宋体"/>
          <w:szCs w:val="21"/>
        </w:rPr>
        <w:t>G4B-4</w:t>
      </w:r>
      <w:r>
        <w:rPr>
          <w:rFonts w:ascii="宋体" w:hAnsi="宋体"/>
          <w:szCs w:val="21"/>
        </w:rPr>
        <w:t>资产证券化业务信用风险</w:t>
      </w:r>
      <w:r>
        <w:rPr>
          <w:rFonts w:hint="eastAsia" w:ascii="宋体" w:hAnsi="宋体"/>
          <w:szCs w:val="21"/>
        </w:rPr>
        <w:t>加权资产汇总</w:t>
      </w:r>
      <w:r>
        <w:rPr>
          <w:rFonts w:ascii="宋体" w:hAnsi="宋体"/>
          <w:szCs w:val="21"/>
        </w:rPr>
        <w:t>表》，</w:t>
      </w:r>
      <w:r>
        <w:rPr>
          <w:rFonts w:hint="eastAsia" w:ascii="宋体" w:hAnsi="宋体"/>
          <w:szCs w:val="21"/>
        </w:rPr>
        <w:t>并在本表填报</w:t>
      </w:r>
      <w:r>
        <w:rPr>
          <w:rFonts w:ascii="宋体" w:hAnsi="宋体"/>
          <w:szCs w:val="21"/>
        </w:rPr>
        <w:t>资产证券化</w:t>
      </w:r>
      <w:r>
        <w:rPr>
          <w:rFonts w:hint="eastAsia" w:ascii="宋体" w:hAnsi="宋体"/>
          <w:szCs w:val="21"/>
        </w:rPr>
        <w:t>表外项目</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[12.资产管理产品表外项目]：参与资产管理产品业务的机构应根据《办法》附件12的要求，填报《G4B-5 资产管理产品</w:t>
      </w:r>
      <w:r>
        <w:rPr>
          <w:rFonts w:ascii="宋体" w:hAnsi="宋体"/>
          <w:szCs w:val="21"/>
        </w:rPr>
        <w:t>风险</w:t>
      </w:r>
      <w:r>
        <w:rPr>
          <w:rFonts w:hint="eastAsia" w:ascii="宋体" w:hAnsi="宋体"/>
          <w:szCs w:val="21"/>
        </w:rPr>
        <w:t>加权资产汇总</w:t>
      </w:r>
      <w:r>
        <w:rPr>
          <w:rFonts w:ascii="宋体" w:hAnsi="宋体"/>
          <w:szCs w:val="21"/>
        </w:rPr>
        <w:t>表</w:t>
      </w:r>
      <w:r>
        <w:rPr>
          <w:rFonts w:hint="eastAsia" w:ascii="宋体" w:hAnsi="宋体"/>
          <w:szCs w:val="21"/>
        </w:rPr>
        <w:t>》，并在本表填报资产管理产品表外项目。</w:t>
      </w:r>
    </w:p>
    <w:p>
      <w:pPr>
        <w:spacing w:line="440" w:lineRule="exact"/>
        <w:ind w:firstLine="420" w:firstLineChars="200"/>
        <w:rPr>
          <w:rFonts w:ascii="宋体" w:hAnsi="宋体"/>
          <w:szCs w:val="21"/>
        </w:rPr>
      </w:pPr>
      <w:r>
        <w:rPr>
          <w:rFonts w:hint="eastAsia" w:ascii="宋体" w:hAnsi="宋体"/>
          <w:szCs w:val="21"/>
        </w:rPr>
        <w:t>[</w:t>
      </w:r>
      <w:r>
        <w:rPr>
          <w:rFonts w:ascii="宋体" w:hAnsi="宋体"/>
          <w:szCs w:val="21"/>
        </w:rPr>
        <w:t>1</w:t>
      </w:r>
      <w:r>
        <w:rPr>
          <w:rFonts w:hint="eastAsia" w:ascii="宋体" w:hAnsi="宋体"/>
          <w:szCs w:val="21"/>
        </w:rPr>
        <w:t>3</w:t>
      </w:r>
      <w:r>
        <w:rPr>
          <w:rFonts w:ascii="宋体" w:hAnsi="宋体"/>
          <w:szCs w:val="21"/>
        </w:rPr>
        <w:t>.表外信用风险加权资产合计]：对表外项目信用风险的求和结果。</w:t>
      </w:r>
    </w:p>
    <w:p>
      <w:pPr>
        <w:spacing w:line="440" w:lineRule="exact"/>
        <w:ind w:firstLine="420" w:firstLineChars="200"/>
        <w:rPr>
          <w:rFonts w:ascii="宋体" w:hAnsi="宋体"/>
          <w:szCs w:val="21"/>
        </w:rPr>
      </w:pPr>
      <w:r>
        <w:rPr>
          <w:rFonts w:ascii="宋体" w:hAnsi="宋体"/>
          <w:szCs w:val="21"/>
        </w:rPr>
        <w:t>[A]转换前资产：是指各项统计指标报告期期末的会计账面金额或名义本金。</w:t>
      </w:r>
    </w:p>
    <w:p>
      <w:pPr>
        <w:spacing w:line="440" w:lineRule="exact"/>
        <w:ind w:firstLine="420" w:firstLineChars="200"/>
        <w:rPr>
          <w:rFonts w:ascii="宋体" w:hAnsi="宋体"/>
          <w:szCs w:val="21"/>
        </w:rPr>
      </w:pPr>
      <w:r>
        <w:rPr>
          <w:rFonts w:ascii="宋体" w:hAnsi="宋体"/>
          <w:szCs w:val="21"/>
        </w:rPr>
        <w:t>其中：对于[11.资产证券化表外项目]，[A]转换前资产为资产证券化</w:t>
      </w:r>
      <w:r>
        <w:rPr>
          <w:rFonts w:hint="eastAsia" w:ascii="宋体" w:hAnsi="宋体"/>
          <w:szCs w:val="21"/>
        </w:rPr>
        <w:t>表外</w:t>
      </w:r>
      <w:r>
        <w:rPr>
          <w:rFonts w:ascii="宋体" w:hAnsi="宋体"/>
          <w:szCs w:val="21"/>
        </w:rPr>
        <w:t>业务的会计账面余额</w:t>
      </w:r>
      <w:r>
        <w:rPr>
          <w:rFonts w:hint="eastAsia" w:ascii="宋体" w:hAnsi="宋体"/>
          <w:szCs w:val="21"/>
        </w:rPr>
        <w:t>。</w:t>
      </w:r>
    </w:p>
    <w:p>
      <w:pPr>
        <w:spacing w:line="440" w:lineRule="exact"/>
        <w:ind w:firstLine="420" w:firstLineChars="200"/>
        <w:rPr>
          <w:rFonts w:ascii="宋体" w:hAnsi="宋体"/>
          <w:szCs w:val="21"/>
        </w:rPr>
      </w:pPr>
      <w:r>
        <w:rPr>
          <w:rFonts w:ascii="宋体" w:hAnsi="宋体"/>
          <w:szCs w:val="21"/>
        </w:rPr>
        <w:t>[B]转换系数：是指将表外项目转换为等值表内信用额的信用转换系数。</w:t>
      </w:r>
    </w:p>
    <w:p>
      <w:pPr>
        <w:spacing w:line="440" w:lineRule="exact"/>
        <w:ind w:firstLine="420" w:firstLineChars="200"/>
        <w:rPr>
          <w:rFonts w:ascii="宋体" w:hAnsi="宋体"/>
          <w:szCs w:val="21"/>
        </w:rPr>
      </w:pPr>
      <w:r>
        <w:rPr>
          <w:rFonts w:ascii="宋体" w:hAnsi="宋体"/>
          <w:szCs w:val="21"/>
        </w:rPr>
        <w:t>[C]转换后</w:t>
      </w:r>
      <w:r>
        <w:rPr>
          <w:rFonts w:hint="eastAsia" w:ascii="宋体" w:hAnsi="宋体"/>
          <w:szCs w:val="21"/>
        </w:rPr>
        <w:t>资产</w:t>
      </w:r>
      <w:r>
        <w:rPr>
          <w:rFonts w:ascii="宋体" w:hAnsi="宋体"/>
          <w:szCs w:val="21"/>
        </w:rPr>
        <w:t>：是指将[A]转换前资产乘以[B]转换系数后的相当于等值表内转换前资产余额，即[C]转换后风险暴露=[A]转换前资产×[B]转换系数。</w:t>
      </w:r>
    </w:p>
    <w:p>
      <w:pPr>
        <w:spacing w:line="440" w:lineRule="exact"/>
        <w:ind w:firstLine="420" w:firstLineChars="200"/>
        <w:rPr>
          <w:rFonts w:ascii="宋体" w:hAnsi="宋体"/>
          <w:szCs w:val="21"/>
        </w:rPr>
      </w:pPr>
      <w:r>
        <w:rPr>
          <w:rFonts w:ascii="宋体" w:hAnsi="宋体"/>
          <w:szCs w:val="21"/>
        </w:rPr>
        <w:t>[D]减值准备：是指填报机构为表外项目计提的减值准备</w:t>
      </w:r>
      <w:r>
        <w:rPr>
          <w:rFonts w:hint="eastAsia" w:ascii="宋体" w:hAnsi="宋体"/>
          <w:szCs w:val="21"/>
        </w:rPr>
        <w:t>或性质类似于减值准备的项目</w:t>
      </w:r>
      <w:r>
        <w:rPr>
          <w:rFonts w:ascii="宋体" w:hAnsi="宋体"/>
          <w:szCs w:val="21"/>
        </w:rPr>
        <w:t>，该部分减值不在表内重复抵减。</w:t>
      </w:r>
    </w:p>
    <w:p>
      <w:pPr>
        <w:pStyle w:val="6"/>
        <w:ind w:firstLine="420"/>
        <w:rPr>
          <w:rFonts w:ascii="宋体" w:hAnsi="宋体" w:eastAsia="宋体"/>
          <w:sz w:val="21"/>
          <w:szCs w:val="21"/>
        </w:rPr>
      </w:pPr>
      <w:r>
        <w:rPr>
          <w:rFonts w:ascii="宋体" w:hAnsi="宋体" w:eastAsia="宋体"/>
          <w:color w:val="auto"/>
          <w:sz w:val="21"/>
          <w:szCs w:val="21"/>
        </w:rPr>
        <w:t>[E]</w:t>
      </w:r>
      <w:r>
        <w:rPr>
          <w:rFonts w:hint="eastAsia" w:ascii="宋体" w:hAnsi="宋体" w:eastAsia="宋体"/>
          <w:color w:val="auto"/>
          <w:sz w:val="21"/>
          <w:szCs w:val="21"/>
        </w:rPr>
        <w:t>转换后</w:t>
      </w:r>
      <w:r>
        <w:rPr>
          <w:rFonts w:ascii="宋体" w:hAnsi="宋体" w:eastAsia="宋体"/>
          <w:color w:val="auto"/>
          <w:sz w:val="21"/>
          <w:szCs w:val="21"/>
        </w:rPr>
        <w:t>风险暴露：是指[C]转换后</w:t>
      </w:r>
      <w:r>
        <w:rPr>
          <w:rFonts w:hint="eastAsia" w:ascii="宋体" w:hAnsi="宋体" w:eastAsia="宋体"/>
          <w:color w:val="auto"/>
          <w:sz w:val="21"/>
          <w:szCs w:val="21"/>
        </w:rPr>
        <w:t>资产</w:t>
      </w:r>
      <w:r>
        <w:rPr>
          <w:rFonts w:ascii="宋体" w:hAnsi="宋体" w:eastAsia="宋体"/>
          <w:color w:val="auto"/>
          <w:sz w:val="21"/>
          <w:szCs w:val="21"/>
        </w:rPr>
        <w:t>扣除减值准备后的风险暴露，即：[E]</w:t>
      </w:r>
      <w:r>
        <w:rPr>
          <w:rFonts w:hint="eastAsia" w:ascii="宋体" w:hAnsi="宋体" w:eastAsia="宋体"/>
          <w:color w:val="auto"/>
          <w:sz w:val="21"/>
          <w:szCs w:val="21"/>
        </w:rPr>
        <w:t>转换后</w:t>
      </w:r>
      <w:r>
        <w:rPr>
          <w:rFonts w:ascii="宋体" w:hAnsi="宋体" w:eastAsia="宋体"/>
          <w:color w:val="auto"/>
          <w:sz w:val="21"/>
          <w:szCs w:val="21"/>
        </w:rPr>
        <w:t>风险暴露=</w:t>
      </w:r>
      <w:r>
        <w:rPr>
          <w:rFonts w:ascii="宋体" w:hAnsi="宋体" w:eastAsia="宋体"/>
          <w:sz w:val="21"/>
          <w:szCs w:val="21"/>
        </w:rPr>
        <w:t>[C]转换后</w:t>
      </w:r>
      <w:r>
        <w:rPr>
          <w:rFonts w:hint="eastAsia" w:ascii="宋体" w:hAnsi="宋体" w:eastAsia="宋体"/>
          <w:sz w:val="21"/>
          <w:szCs w:val="21"/>
        </w:rPr>
        <w:t>资产－</w:t>
      </w:r>
      <w:r>
        <w:rPr>
          <w:rFonts w:ascii="宋体" w:hAnsi="宋体" w:eastAsia="宋体"/>
          <w:sz w:val="21"/>
          <w:szCs w:val="21"/>
        </w:rPr>
        <w:t>D]减值准备。</w:t>
      </w:r>
    </w:p>
    <w:p>
      <w:pPr>
        <w:spacing w:line="440" w:lineRule="exact"/>
        <w:ind w:firstLine="420" w:firstLineChars="200"/>
        <w:rPr>
          <w:rFonts w:ascii="宋体" w:hAnsi="宋体"/>
          <w:szCs w:val="21"/>
        </w:rPr>
      </w:pPr>
      <w:r>
        <w:rPr>
          <w:rFonts w:ascii="宋体" w:hAnsi="宋体"/>
          <w:szCs w:val="21"/>
        </w:rPr>
        <w:t>[F]风险权重：是指将表外项目转换为等值信用额后，根据</w:t>
      </w:r>
      <w:r>
        <w:rPr>
          <w:rFonts w:hint="eastAsia" w:ascii="宋体" w:hAnsi="宋体"/>
          <w:szCs w:val="21"/>
          <w:lang w:eastAsia="zh-CN"/>
        </w:rPr>
        <w:t>《</w:t>
      </w:r>
      <w:r>
        <w:rPr>
          <w:rFonts w:hint="eastAsia" w:ascii="宋体" w:hAnsi="宋体"/>
          <w:szCs w:val="21"/>
          <w:lang w:val="en-US" w:eastAsia="zh-CN"/>
        </w:rPr>
        <w:t>办法》附件2规定的风险暴露类型</w:t>
      </w:r>
      <w:r>
        <w:rPr>
          <w:rFonts w:ascii="宋体" w:hAnsi="宋体"/>
          <w:szCs w:val="21"/>
        </w:rPr>
        <w:t>确定的该等值信用额的风险权重。</w:t>
      </w:r>
      <w:r>
        <w:rPr>
          <w:rFonts w:hint="eastAsia" w:ascii="宋体" w:hAnsi="宋体"/>
          <w:szCs w:val="21"/>
        </w:rPr>
        <w:t>此处权重标准与《办法》附件3规定的信用风险权重法表内资产风险权重一致。</w:t>
      </w:r>
    </w:p>
    <w:p>
      <w:pPr>
        <w:spacing w:line="440" w:lineRule="exact"/>
        <w:ind w:firstLine="420" w:firstLineChars="200"/>
        <w:rPr>
          <w:rFonts w:ascii="宋体" w:hAnsi="宋体"/>
          <w:szCs w:val="21"/>
        </w:rPr>
      </w:pPr>
      <w:r>
        <w:rPr>
          <w:rFonts w:ascii="宋体" w:hAnsi="宋体"/>
          <w:szCs w:val="21"/>
        </w:rPr>
        <w:t>[G]风险加权资产：是指将表外项目转换为表内等值信用额后，根据交易对象的属性确定风险权重并计算得到的表外项目相应的风险加权资产，即：[G]风险加权资产=[E]</w:t>
      </w:r>
      <w:r>
        <w:rPr>
          <w:rFonts w:hint="eastAsia" w:ascii="宋体" w:hAnsi="宋体"/>
          <w:szCs w:val="21"/>
        </w:rPr>
        <w:t>转换后风险暴露</w:t>
      </w:r>
      <w:r>
        <w:rPr>
          <w:rFonts w:ascii="宋体" w:hAnsi="宋体"/>
          <w:szCs w:val="21"/>
        </w:rPr>
        <w:t>×[F]风险权重。</w:t>
      </w:r>
    </w:p>
    <w:p>
      <w:pPr>
        <w:spacing w:line="440" w:lineRule="exact"/>
        <w:ind w:firstLine="420" w:firstLineChars="200"/>
        <w:rPr>
          <w:rFonts w:ascii="宋体" w:hAnsi="宋体"/>
        </w:rPr>
      </w:pPr>
      <w:r>
        <w:rPr>
          <w:rFonts w:ascii="宋体" w:hAnsi="宋体"/>
          <w:szCs w:val="21"/>
        </w:rPr>
        <w:t>其中：对于[11.资产证券化表外项目]，[G]风险加权资产为对应的资产证券化</w:t>
      </w:r>
      <w:r>
        <w:rPr>
          <w:rFonts w:hint="eastAsia" w:ascii="宋体" w:hAnsi="宋体"/>
          <w:szCs w:val="21"/>
        </w:rPr>
        <w:t>表外</w:t>
      </w:r>
      <w:r>
        <w:rPr>
          <w:rFonts w:ascii="宋体" w:hAnsi="宋体"/>
          <w:szCs w:val="21"/>
        </w:rPr>
        <w:t>业务的风险加权资产。</w:t>
      </w:r>
    </w:p>
    <w:p>
      <w:pPr>
        <w:spacing w:line="440" w:lineRule="exact"/>
        <w:rPr>
          <w:b/>
          <w:bCs/>
          <w:szCs w:val="21"/>
        </w:rPr>
      </w:pPr>
      <w:r>
        <w:rPr>
          <w:rFonts w:hAnsi="宋体"/>
          <w:b/>
          <w:bCs/>
          <w:szCs w:val="21"/>
        </w:rPr>
        <w:t>第四部分：核对关系</w:t>
      </w:r>
    </w:p>
    <w:p>
      <w:pPr>
        <w:spacing w:line="440" w:lineRule="exact"/>
        <w:ind w:firstLine="421" w:firstLineChars="200"/>
        <w:rPr>
          <w:b/>
          <w:szCs w:val="21"/>
        </w:rPr>
      </w:pPr>
      <w:r>
        <w:rPr>
          <w:rFonts w:hAnsi="宋体"/>
          <w:b/>
          <w:szCs w:val="21"/>
        </w:rPr>
        <w:t>1.表内</w:t>
      </w:r>
      <w:r>
        <w:rPr>
          <w:rFonts w:hint="eastAsia" w:hAnsi="宋体"/>
          <w:b/>
          <w:szCs w:val="21"/>
        </w:rPr>
        <w:t>核对</w:t>
      </w:r>
      <w:r>
        <w:rPr>
          <w:rFonts w:hAnsi="宋体"/>
          <w:b/>
          <w:szCs w:val="21"/>
        </w:rPr>
        <w:t>关系</w:t>
      </w:r>
    </w:p>
    <w:p>
      <w:pPr>
        <w:spacing w:line="440" w:lineRule="exact"/>
        <w:ind w:firstLine="420" w:firstLineChars="200"/>
        <w:rPr>
          <w:szCs w:val="21"/>
        </w:rPr>
      </w:pPr>
      <w:r>
        <w:rPr>
          <w:szCs w:val="21"/>
        </w:rPr>
        <w:t>[1.]=[1.1]+[1.2]+[1.3]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G列</w:t>
      </w:r>
    </w:p>
    <w:p>
      <w:pPr>
        <w:spacing w:line="440" w:lineRule="exact"/>
        <w:ind w:firstLine="420" w:firstLineChars="200"/>
        <w:rPr>
          <w:szCs w:val="21"/>
        </w:rPr>
      </w:pPr>
      <w:r>
        <w:rPr>
          <w:szCs w:val="21"/>
        </w:rPr>
        <w:t>[1.1]=[1.1.1]+[1.1.2]+…+[1.1.13]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w:t>
      </w:r>
      <w:r>
        <w:rPr>
          <w:rFonts w:hint="eastAsia"/>
          <w:szCs w:val="21"/>
        </w:rPr>
        <w:t>2</w:t>
      </w:r>
      <w:r>
        <w:rPr>
          <w:szCs w:val="21"/>
        </w:rPr>
        <w:t>]=[</w:t>
      </w:r>
      <w:r>
        <w:rPr>
          <w:rFonts w:hint="eastAsia"/>
          <w:szCs w:val="21"/>
        </w:rPr>
        <w:t>1.2.</w:t>
      </w:r>
      <w:r>
        <w:rPr>
          <w:szCs w:val="21"/>
        </w:rPr>
        <w:t>1]+[</w:t>
      </w:r>
      <w:r>
        <w:rPr>
          <w:rFonts w:hint="eastAsia"/>
          <w:szCs w:val="21"/>
        </w:rPr>
        <w:t>1.2.</w:t>
      </w:r>
      <w:r>
        <w:rPr>
          <w:szCs w:val="21"/>
        </w:rPr>
        <w:t>2]+ …+[</w:t>
      </w:r>
      <w:r>
        <w:rPr>
          <w:rFonts w:hint="eastAsia"/>
          <w:szCs w:val="21"/>
        </w:rPr>
        <w:t>1.2.</w:t>
      </w:r>
      <w:r>
        <w:rPr>
          <w:szCs w:val="21"/>
        </w:rPr>
        <w:t>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[1.3]=[</w:t>
      </w:r>
      <w:r>
        <w:rPr>
          <w:rFonts w:hint="eastAsia"/>
          <w:szCs w:val="21"/>
        </w:rPr>
        <w:t>1.3.</w:t>
      </w:r>
      <w:r>
        <w:rPr>
          <w:szCs w:val="21"/>
        </w:rPr>
        <w:t>1]+[</w:t>
      </w:r>
      <w:r>
        <w:rPr>
          <w:rFonts w:hint="eastAsia"/>
          <w:szCs w:val="21"/>
        </w:rPr>
        <w:t>1.3.</w:t>
      </w:r>
      <w:r>
        <w:rPr>
          <w:szCs w:val="21"/>
        </w:rPr>
        <w:t>2]+ …+[</w:t>
      </w:r>
      <w:r>
        <w:rPr>
          <w:rFonts w:hint="eastAsia"/>
          <w:szCs w:val="21"/>
        </w:rPr>
        <w:t>1.3.</w:t>
      </w:r>
      <w:r>
        <w:rPr>
          <w:szCs w:val="21"/>
        </w:rPr>
        <w:t>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[2.]=[2.1]+[2.2]</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rPr>
      </w:pPr>
      <w:r>
        <w:rPr>
          <w:szCs w:val="21"/>
        </w:rPr>
        <w:t>[2.1]=[2.1.1]+[2.1.2]+ …+[</w:t>
      </w:r>
      <w:r>
        <w:rPr>
          <w:rFonts w:hint="eastAsia"/>
          <w:szCs w:val="21"/>
        </w:rPr>
        <w:t>2.1.</w:t>
      </w:r>
      <w:r>
        <w:rPr>
          <w:szCs w:val="21"/>
        </w:rPr>
        <w:t>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C、D、E、G列</w:t>
      </w:r>
    </w:p>
    <w:p>
      <w:pPr>
        <w:spacing w:line="440" w:lineRule="exact"/>
        <w:ind w:firstLine="420" w:firstLineChars="200"/>
        <w:rPr>
          <w:szCs w:val="21"/>
        </w:rPr>
      </w:pPr>
      <w:r>
        <w:rPr>
          <w:szCs w:val="21"/>
        </w:rPr>
        <w:t>[2.2]=[2.2.1]+[2.2.2]+ …+[</w:t>
      </w:r>
      <w:r>
        <w:rPr>
          <w:rFonts w:hint="eastAsia"/>
          <w:szCs w:val="21"/>
        </w:rPr>
        <w:t>2.2.</w:t>
      </w:r>
      <w:r>
        <w:rPr>
          <w:szCs w:val="21"/>
        </w:rPr>
        <w:t>13]</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rPr>
      </w:pPr>
      <w:r>
        <w:rPr>
          <w:szCs w:val="21"/>
        </w:rPr>
        <w:t>[3.]=[3.1]+[3.2]+[3.</w:t>
      </w:r>
      <w:r>
        <w:rPr>
          <w:rFonts w:hint="eastAsia"/>
          <w:szCs w:val="21"/>
        </w:rPr>
        <w:t>3</w:t>
      </w:r>
      <w:r>
        <w:rPr>
          <w:szCs w:val="21"/>
        </w:rPr>
        <w:t>]</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lang w:val="de-DE"/>
        </w:rPr>
      </w:pPr>
      <w:r>
        <w:rPr>
          <w:szCs w:val="21"/>
        </w:rPr>
        <w:t>[3.1]=[3.1.1]+[3.1.2]</w:t>
      </w:r>
      <w:r>
        <w:rPr>
          <w:rFonts w:hint="eastAsia"/>
          <w:szCs w:val="21"/>
        </w:rPr>
        <w:t>，</w:t>
      </w:r>
      <w:r>
        <w:rPr>
          <w:rFonts w:hint="eastAsia"/>
          <w:szCs w:val="21"/>
          <w:lang w:val="de-DE"/>
        </w:rPr>
        <w:t>适用于</w:t>
      </w:r>
      <w:r>
        <w:rPr>
          <w:rFonts w:hint="eastAsia"/>
          <w:szCs w:val="21"/>
        </w:rPr>
        <w:t>A</w:t>
      </w:r>
      <w:r>
        <w:rPr>
          <w:rFonts w:hint="eastAsia"/>
          <w:szCs w:val="21"/>
          <w:lang w:val="de-DE"/>
        </w:rPr>
        <w:t>、</w:t>
      </w:r>
      <w:r>
        <w:rPr>
          <w:rFonts w:hint="eastAsia"/>
          <w:szCs w:val="21"/>
        </w:rPr>
        <w:t>C</w:t>
      </w:r>
      <w:r>
        <w:rPr>
          <w:rFonts w:hint="eastAsia"/>
          <w:szCs w:val="21"/>
          <w:lang w:val="de-DE"/>
        </w:rPr>
        <w:t>、</w:t>
      </w:r>
      <w:r>
        <w:rPr>
          <w:rFonts w:hint="eastAsia"/>
          <w:szCs w:val="21"/>
        </w:rPr>
        <w:t>D</w:t>
      </w:r>
      <w:r>
        <w:rPr>
          <w:rFonts w:hint="eastAsia"/>
          <w:szCs w:val="21"/>
          <w:lang w:val="de-DE"/>
        </w:rPr>
        <w:t>、</w:t>
      </w:r>
      <w:r>
        <w:rPr>
          <w:rFonts w:hint="eastAsia"/>
          <w:szCs w:val="21"/>
        </w:rPr>
        <w:t>E</w:t>
      </w:r>
      <w:r>
        <w:rPr>
          <w:rFonts w:hint="eastAsia"/>
          <w:szCs w:val="21"/>
          <w:lang w:val="de-DE"/>
        </w:rPr>
        <w:t>、</w:t>
      </w:r>
      <w:r>
        <w:rPr>
          <w:rFonts w:hint="eastAsia"/>
          <w:szCs w:val="21"/>
        </w:rPr>
        <w:t>G</w:t>
      </w:r>
      <w:r>
        <w:rPr>
          <w:rFonts w:hint="eastAsia"/>
          <w:szCs w:val="21"/>
          <w:lang w:val="de-DE"/>
        </w:rPr>
        <w:t>列</w:t>
      </w:r>
    </w:p>
    <w:p>
      <w:pPr>
        <w:spacing w:line="440" w:lineRule="exact"/>
        <w:ind w:firstLine="420" w:firstLineChars="200"/>
        <w:rPr>
          <w:szCs w:val="21"/>
          <w:lang w:val="de-DE"/>
        </w:rPr>
      </w:pPr>
      <w:r>
        <w:rPr>
          <w:szCs w:val="21"/>
          <w:lang w:val="de-DE"/>
        </w:rPr>
        <w:t>[3.1.1]= [3.1.1.1]+ [3.1.1.2]+…+[3.1.1.13]</w:t>
      </w:r>
      <w:r>
        <w:rPr>
          <w:rFonts w:hint="eastAsia"/>
          <w:szCs w:val="21"/>
          <w:lang w:val="de-DE"/>
        </w:rPr>
        <w:t>，适用于A、C、D、E、G列</w:t>
      </w:r>
    </w:p>
    <w:p>
      <w:pPr>
        <w:spacing w:line="440" w:lineRule="exact"/>
        <w:ind w:firstLine="420" w:firstLineChars="200"/>
        <w:rPr>
          <w:szCs w:val="21"/>
          <w:lang w:val="de-DE"/>
        </w:rPr>
      </w:pPr>
      <w:r>
        <w:rPr>
          <w:szCs w:val="21"/>
          <w:lang w:val="de-DE"/>
        </w:rPr>
        <w:t>[3.1.2]= [3.1.2.1]+ [3.1.2.2]+…+[3.1.2.13]</w:t>
      </w:r>
      <w:r>
        <w:rPr>
          <w:rFonts w:hint="eastAsia"/>
          <w:szCs w:val="21"/>
          <w:lang w:val="de-DE"/>
        </w:rPr>
        <w:t>，适用于A、C、D、E、G列</w:t>
      </w:r>
    </w:p>
    <w:p>
      <w:pPr>
        <w:spacing w:line="440" w:lineRule="exact"/>
        <w:ind w:firstLine="420" w:firstLineChars="200"/>
        <w:rPr>
          <w:szCs w:val="21"/>
          <w:lang w:val="de-DE"/>
        </w:rPr>
      </w:pPr>
      <w:r>
        <w:rPr>
          <w:szCs w:val="21"/>
          <w:lang w:val="de-DE"/>
        </w:rPr>
        <w:t>[3.2]=[3.2.1]+[3.2.2]+ …+[</w:t>
      </w:r>
      <w:r>
        <w:rPr>
          <w:rFonts w:hint="eastAsia"/>
          <w:szCs w:val="21"/>
          <w:lang w:val="de-DE"/>
        </w:rPr>
        <w:t>3.2.</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[3.</w:t>
      </w:r>
      <w:r>
        <w:rPr>
          <w:rFonts w:hint="eastAsia"/>
          <w:szCs w:val="21"/>
          <w:lang w:val="de-DE"/>
        </w:rPr>
        <w:t>3</w:t>
      </w:r>
      <w:r>
        <w:rPr>
          <w:szCs w:val="21"/>
          <w:lang w:val="de-DE"/>
        </w:rPr>
        <w:t>]=[3.1.1]+[</w:t>
      </w:r>
      <w:r>
        <w:rPr>
          <w:rFonts w:hint="eastAsia"/>
          <w:szCs w:val="21"/>
          <w:lang w:val="de-DE"/>
        </w:rPr>
        <w:t>3.3.</w:t>
      </w:r>
      <w:r>
        <w:rPr>
          <w:szCs w:val="21"/>
          <w:lang w:val="de-DE"/>
        </w:rPr>
        <w:t>2]+ …+[</w:t>
      </w:r>
      <w:r>
        <w:rPr>
          <w:rFonts w:hint="eastAsia"/>
          <w:szCs w:val="21"/>
          <w:lang w:val="de-DE"/>
        </w:rPr>
        <w:t>3.3.</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[4.]=[4.1]+[4.2]+[4.3]+[4.4]+[4.5]+[4.6]</w:t>
      </w:r>
      <w:r>
        <w:rPr>
          <w:rFonts w:hint="eastAsia"/>
          <w:szCs w:val="21"/>
          <w:lang w:val="de-DE"/>
        </w:rPr>
        <w:t>+</w:t>
      </w:r>
      <w:r>
        <w:rPr>
          <w:szCs w:val="21"/>
          <w:lang w:val="de-DE"/>
        </w:rPr>
        <w:t>[4.</w:t>
      </w:r>
      <w:r>
        <w:rPr>
          <w:rFonts w:hint="eastAsia"/>
          <w:szCs w:val="21"/>
          <w:lang w:val="de-DE"/>
        </w:rPr>
        <w:t>7</w:t>
      </w:r>
      <w:r>
        <w:rPr>
          <w:szCs w:val="21"/>
          <w:lang w:val="de-DE"/>
        </w:rPr>
        <w:t>]</w:t>
      </w:r>
      <w:r>
        <w:rPr>
          <w:rFonts w:hint="eastAsia"/>
          <w:szCs w:val="21"/>
          <w:lang w:val="de-DE"/>
        </w:rPr>
        <w:t>，适用于A、C、D、E、G列</w:t>
      </w:r>
    </w:p>
    <w:p>
      <w:pPr>
        <w:spacing w:line="440" w:lineRule="exact"/>
        <w:ind w:firstLine="420" w:firstLineChars="200"/>
        <w:rPr>
          <w:szCs w:val="21"/>
          <w:lang w:val="de-DE"/>
        </w:rPr>
      </w:pPr>
      <w:r>
        <w:rPr>
          <w:szCs w:val="21"/>
          <w:lang w:val="de-DE"/>
        </w:rPr>
        <w:t>[4.2]=[</w:t>
      </w:r>
      <w:r>
        <w:rPr>
          <w:rFonts w:hint="eastAsia"/>
          <w:szCs w:val="21"/>
          <w:lang w:val="de-DE"/>
        </w:rPr>
        <w:t>4.2.</w:t>
      </w:r>
      <w:r>
        <w:rPr>
          <w:szCs w:val="21"/>
          <w:lang w:val="de-DE"/>
        </w:rPr>
        <w:t>1]+[</w:t>
      </w:r>
      <w:r>
        <w:rPr>
          <w:rFonts w:hint="eastAsia"/>
          <w:szCs w:val="21"/>
          <w:lang w:val="de-DE"/>
        </w:rPr>
        <w:t>4.2.</w:t>
      </w:r>
      <w:r>
        <w:rPr>
          <w:szCs w:val="21"/>
          <w:lang w:val="de-DE"/>
        </w:rPr>
        <w:t>2]+ …</w:t>
      </w:r>
      <w:r>
        <w:rPr>
          <w:rFonts w:hint="eastAsia"/>
          <w:szCs w:val="21"/>
          <w:lang w:val="de-DE"/>
        </w:rPr>
        <w:t>+</w:t>
      </w:r>
      <w:r>
        <w:rPr>
          <w:szCs w:val="21"/>
          <w:lang w:val="de-DE"/>
        </w:rPr>
        <w:t>[</w:t>
      </w:r>
      <w:r>
        <w:rPr>
          <w:rFonts w:hint="eastAsia"/>
          <w:szCs w:val="21"/>
          <w:lang w:val="de-DE"/>
        </w:rPr>
        <w:t>4.2.</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[4.</w:t>
      </w:r>
      <w:r>
        <w:rPr>
          <w:rFonts w:hint="eastAsia"/>
          <w:szCs w:val="21"/>
          <w:lang w:val="de-DE"/>
        </w:rPr>
        <w:t>3</w:t>
      </w:r>
      <w:r>
        <w:rPr>
          <w:szCs w:val="21"/>
          <w:lang w:val="de-DE"/>
        </w:rPr>
        <w:t>]=[</w:t>
      </w:r>
      <w:r>
        <w:rPr>
          <w:rFonts w:hint="eastAsia"/>
          <w:szCs w:val="21"/>
          <w:lang w:val="de-DE"/>
        </w:rPr>
        <w:t>4.3.</w:t>
      </w:r>
      <w:r>
        <w:rPr>
          <w:szCs w:val="21"/>
          <w:lang w:val="de-DE"/>
        </w:rPr>
        <w:t>1]+[</w:t>
      </w:r>
      <w:r>
        <w:rPr>
          <w:rFonts w:hint="eastAsia"/>
          <w:szCs w:val="21"/>
          <w:lang w:val="de-DE"/>
        </w:rPr>
        <w:t>4.3.</w:t>
      </w:r>
      <w:r>
        <w:rPr>
          <w:szCs w:val="21"/>
          <w:lang w:val="de-DE"/>
        </w:rPr>
        <w:t>2]+ …</w:t>
      </w:r>
      <w:r>
        <w:rPr>
          <w:rFonts w:hint="eastAsia"/>
          <w:szCs w:val="21"/>
          <w:lang w:val="de-DE"/>
        </w:rPr>
        <w:t>+</w:t>
      </w:r>
      <w:r>
        <w:rPr>
          <w:szCs w:val="21"/>
          <w:lang w:val="de-DE"/>
        </w:rPr>
        <w:t>[</w:t>
      </w:r>
      <w:r>
        <w:rPr>
          <w:rFonts w:hint="eastAsia"/>
          <w:szCs w:val="21"/>
          <w:lang w:val="de-DE"/>
        </w:rPr>
        <w:t>4.3.</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[4.4]=[4.4.1]+[4.4.2]</w:t>
      </w:r>
      <w:r>
        <w:rPr>
          <w:rFonts w:hint="eastAsia"/>
          <w:szCs w:val="21"/>
          <w:lang w:val="de-DE"/>
        </w:rPr>
        <w:t>，适用于A、C、D、E、G列</w:t>
      </w:r>
    </w:p>
    <w:p>
      <w:pPr>
        <w:spacing w:line="440" w:lineRule="exact"/>
        <w:ind w:firstLine="420" w:firstLineChars="200"/>
        <w:rPr>
          <w:szCs w:val="21"/>
          <w:lang w:val="de-DE"/>
        </w:rPr>
      </w:pPr>
      <w:r>
        <w:rPr>
          <w:szCs w:val="21"/>
          <w:lang w:val="de-DE"/>
        </w:rPr>
        <w:t>[4.</w:t>
      </w:r>
      <w:r>
        <w:rPr>
          <w:rFonts w:hint="eastAsia"/>
          <w:szCs w:val="21"/>
          <w:lang w:val="de-DE"/>
        </w:rPr>
        <w:t>4.1</w:t>
      </w:r>
      <w:r>
        <w:rPr>
          <w:szCs w:val="21"/>
          <w:lang w:val="de-DE"/>
        </w:rPr>
        <w:t>]=[</w:t>
      </w:r>
      <w:r>
        <w:rPr>
          <w:rFonts w:hint="eastAsia"/>
          <w:szCs w:val="21"/>
          <w:lang w:val="de-DE"/>
        </w:rPr>
        <w:t>4.4.1.</w:t>
      </w:r>
      <w:r>
        <w:rPr>
          <w:szCs w:val="21"/>
          <w:lang w:val="de-DE"/>
        </w:rPr>
        <w:t>1]+[</w:t>
      </w:r>
      <w:r>
        <w:rPr>
          <w:rFonts w:hint="eastAsia"/>
          <w:szCs w:val="21"/>
          <w:lang w:val="de-DE"/>
        </w:rPr>
        <w:t>4.4.1.</w:t>
      </w:r>
      <w:r>
        <w:rPr>
          <w:szCs w:val="21"/>
          <w:lang w:val="de-DE"/>
        </w:rPr>
        <w:t>2]+ …+[</w:t>
      </w:r>
      <w:r>
        <w:rPr>
          <w:rFonts w:hint="eastAsia"/>
          <w:szCs w:val="21"/>
          <w:lang w:val="de-DE"/>
        </w:rPr>
        <w:t>4.4.1.</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w:t>
      </w:r>
      <w:r>
        <w:rPr>
          <w:rFonts w:hint="eastAsia"/>
          <w:szCs w:val="21"/>
          <w:lang w:val="de-DE"/>
        </w:rPr>
        <w:t>4.4.</w:t>
      </w:r>
      <w:r>
        <w:rPr>
          <w:szCs w:val="21"/>
          <w:lang w:val="de-DE"/>
        </w:rPr>
        <w:t>2]= [</w:t>
      </w:r>
      <w:r>
        <w:rPr>
          <w:rFonts w:hint="eastAsia"/>
          <w:szCs w:val="21"/>
          <w:lang w:val="de-DE"/>
        </w:rPr>
        <w:t>4.4.</w:t>
      </w:r>
      <w:r>
        <w:rPr>
          <w:szCs w:val="21"/>
          <w:lang w:val="de-DE"/>
        </w:rPr>
        <w:t>2</w:t>
      </w:r>
      <w:r>
        <w:rPr>
          <w:rFonts w:hint="eastAsia"/>
          <w:szCs w:val="21"/>
          <w:lang w:val="de-DE"/>
        </w:rPr>
        <w:t>.</w:t>
      </w:r>
      <w:r>
        <w:rPr>
          <w:szCs w:val="21"/>
          <w:lang w:val="de-DE"/>
        </w:rPr>
        <w:t>1]+[</w:t>
      </w:r>
      <w:r>
        <w:rPr>
          <w:rFonts w:hint="eastAsia"/>
          <w:szCs w:val="21"/>
          <w:lang w:val="de-DE"/>
        </w:rPr>
        <w:t>4.4.</w:t>
      </w:r>
      <w:r>
        <w:rPr>
          <w:szCs w:val="21"/>
          <w:lang w:val="de-DE"/>
        </w:rPr>
        <w:t>2</w:t>
      </w:r>
      <w:r>
        <w:rPr>
          <w:rFonts w:hint="eastAsia"/>
          <w:szCs w:val="21"/>
          <w:lang w:val="de-DE"/>
        </w:rPr>
        <w:t>.</w:t>
      </w:r>
      <w:r>
        <w:rPr>
          <w:szCs w:val="21"/>
          <w:lang w:val="de-DE"/>
        </w:rPr>
        <w:t>2]+ …+[</w:t>
      </w:r>
      <w:r>
        <w:rPr>
          <w:rFonts w:hint="eastAsia"/>
          <w:szCs w:val="21"/>
          <w:lang w:val="de-DE"/>
        </w:rPr>
        <w:t>4.4.</w:t>
      </w:r>
      <w:r>
        <w:rPr>
          <w:szCs w:val="21"/>
          <w:lang w:val="de-DE"/>
        </w:rPr>
        <w:t>2</w:t>
      </w:r>
      <w:r>
        <w:rPr>
          <w:rFonts w:hint="eastAsia"/>
          <w:szCs w:val="21"/>
          <w:lang w:val="de-DE"/>
        </w:rPr>
        <w:t>.</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w:t>
      </w:r>
      <w:r>
        <w:rPr>
          <w:rFonts w:hint="eastAsia"/>
          <w:szCs w:val="21"/>
          <w:lang w:val="de-DE"/>
        </w:rPr>
        <w:t>4</w:t>
      </w:r>
      <w:r>
        <w:rPr>
          <w:szCs w:val="21"/>
          <w:lang w:val="de-DE"/>
        </w:rPr>
        <w:t>.</w:t>
      </w:r>
      <w:r>
        <w:rPr>
          <w:rFonts w:hint="eastAsia"/>
          <w:szCs w:val="21"/>
          <w:lang w:val="de-DE"/>
        </w:rPr>
        <w:t>5</w:t>
      </w:r>
      <w:r>
        <w:rPr>
          <w:szCs w:val="21"/>
          <w:lang w:val="de-DE"/>
        </w:rPr>
        <w:t>]=[</w:t>
      </w:r>
      <w:r>
        <w:rPr>
          <w:rFonts w:hint="eastAsia"/>
          <w:szCs w:val="21"/>
          <w:lang w:val="de-DE"/>
        </w:rPr>
        <w:t>4.5.</w:t>
      </w:r>
      <w:r>
        <w:rPr>
          <w:szCs w:val="21"/>
          <w:lang w:val="de-DE"/>
        </w:rPr>
        <w:t>1]+[</w:t>
      </w:r>
      <w:r>
        <w:rPr>
          <w:rFonts w:hint="eastAsia"/>
          <w:szCs w:val="21"/>
          <w:lang w:val="de-DE"/>
        </w:rPr>
        <w:t>4.5.</w:t>
      </w:r>
      <w:r>
        <w:rPr>
          <w:szCs w:val="21"/>
          <w:lang w:val="de-DE"/>
        </w:rPr>
        <w:t>2]+ …+[</w:t>
      </w:r>
      <w:r>
        <w:rPr>
          <w:rFonts w:hint="eastAsia"/>
          <w:szCs w:val="21"/>
          <w:lang w:val="de-DE"/>
        </w:rPr>
        <w:t>4.5.</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w:t>
      </w:r>
      <w:r>
        <w:rPr>
          <w:rFonts w:hint="eastAsia"/>
          <w:szCs w:val="21"/>
          <w:lang w:val="de-DE"/>
        </w:rPr>
        <w:t>4.6</w:t>
      </w:r>
      <w:r>
        <w:rPr>
          <w:szCs w:val="21"/>
          <w:lang w:val="de-DE"/>
        </w:rPr>
        <w:t>]=[</w:t>
      </w:r>
      <w:r>
        <w:rPr>
          <w:rFonts w:hint="eastAsia"/>
          <w:szCs w:val="21"/>
          <w:lang w:val="de-DE"/>
        </w:rPr>
        <w:t>4.6.</w:t>
      </w:r>
      <w:r>
        <w:rPr>
          <w:szCs w:val="21"/>
          <w:lang w:val="de-DE"/>
        </w:rPr>
        <w:t>1]+[</w:t>
      </w:r>
      <w:r>
        <w:rPr>
          <w:rFonts w:hint="eastAsia"/>
          <w:szCs w:val="21"/>
          <w:lang w:val="de-DE"/>
        </w:rPr>
        <w:t>4.6.</w:t>
      </w:r>
      <w:r>
        <w:rPr>
          <w:szCs w:val="21"/>
          <w:lang w:val="de-DE"/>
        </w:rPr>
        <w:t>2]+ …+[</w:t>
      </w:r>
      <w:r>
        <w:rPr>
          <w:rFonts w:hint="eastAsia"/>
          <w:szCs w:val="21"/>
          <w:lang w:val="de-DE"/>
        </w:rPr>
        <w:t>4.6.</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w:t>
      </w:r>
      <w:r>
        <w:rPr>
          <w:rFonts w:hint="eastAsia"/>
          <w:szCs w:val="21"/>
          <w:lang w:val="de-DE"/>
        </w:rPr>
        <w:t>4.7</w:t>
      </w:r>
      <w:r>
        <w:rPr>
          <w:szCs w:val="21"/>
          <w:lang w:val="de-DE"/>
        </w:rPr>
        <w:t>]=[</w:t>
      </w:r>
      <w:r>
        <w:rPr>
          <w:rFonts w:hint="eastAsia"/>
          <w:szCs w:val="21"/>
          <w:lang w:val="de-DE"/>
        </w:rPr>
        <w:t>4.7.</w:t>
      </w:r>
      <w:r>
        <w:rPr>
          <w:szCs w:val="21"/>
          <w:lang w:val="de-DE"/>
        </w:rPr>
        <w:t>1]+[</w:t>
      </w:r>
      <w:r>
        <w:rPr>
          <w:rFonts w:hint="eastAsia"/>
          <w:szCs w:val="21"/>
          <w:lang w:val="de-DE"/>
        </w:rPr>
        <w:t>4.7.</w:t>
      </w:r>
      <w:r>
        <w:rPr>
          <w:szCs w:val="21"/>
          <w:lang w:val="de-DE"/>
        </w:rPr>
        <w:t>2]+ …+[</w:t>
      </w:r>
      <w:r>
        <w:rPr>
          <w:rFonts w:hint="eastAsia"/>
          <w:szCs w:val="21"/>
          <w:lang w:val="de-DE"/>
        </w:rPr>
        <w:t>4.7.</w:t>
      </w:r>
      <w:r>
        <w:rPr>
          <w:szCs w:val="21"/>
          <w:lang w:val="de-DE"/>
        </w:rPr>
        <w:t>13]</w:t>
      </w:r>
      <w:r>
        <w:rPr>
          <w:rFonts w:hint="eastAsia"/>
          <w:szCs w:val="21"/>
          <w:lang w:val="de-DE"/>
        </w:rPr>
        <w:t>，适用于A、C、D、E、G列</w:t>
      </w:r>
    </w:p>
    <w:p>
      <w:pPr>
        <w:spacing w:line="440" w:lineRule="exact"/>
        <w:ind w:firstLine="420" w:firstLineChars="200"/>
        <w:rPr>
          <w:szCs w:val="21"/>
          <w:lang w:val="de-DE"/>
        </w:rPr>
      </w:pPr>
      <w:r>
        <w:rPr>
          <w:szCs w:val="21"/>
          <w:lang w:val="de-DE"/>
        </w:rPr>
        <w:t>[5.]=[5.1]+[5.2]</w:t>
      </w:r>
      <w:r>
        <w:rPr>
          <w:rFonts w:hint="eastAsia"/>
          <w:szCs w:val="21"/>
          <w:lang w:val="de-DE"/>
        </w:rPr>
        <w:t>，适用于A、C、D、E、G列</w:t>
      </w:r>
    </w:p>
    <w:p>
      <w:pPr>
        <w:spacing w:line="440" w:lineRule="exact"/>
        <w:ind w:firstLine="420" w:firstLineChars="200"/>
        <w:rPr>
          <w:szCs w:val="21"/>
          <w:lang w:val="de-DE"/>
        </w:rPr>
      </w:pPr>
      <w:r>
        <w:rPr>
          <w:szCs w:val="21"/>
          <w:lang w:val="de-DE"/>
        </w:rPr>
        <w:t>[5.1]=[5.1.1]+[5.1.2]+ …</w:t>
      </w:r>
      <w:r>
        <w:rPr>
          <w:rFonts w:hint="eastAsia"/>
          <w:szCs w:val="21"/>
          <w:lang w:val="de-DE"/>
        </w:rPr>
        <w:t>+</w:t>
      </w:r>
      <w:r>
        <w:rPr>
          <w:szCs w:val="21"/>
          <w:lang w:val="de-DE"/>
        </w:rPr>
        <w:t>[5.1.16]</w:t>
      </w:r>
      <w:r>
        <w:rPr>
          <w:rFonts w:hint="eastAsia"/>
          <w:szCs w:val="21"/>
          <w:lang w:val="de-DE"/>
        </w:rPr>
        <w:t>，适用于A、C、D、E、G列</w:t>
      </w:r>
    </w:p>
    <w:p>
      <w:pPr>
        <w:spacing w:line="440" w:lineRule="exact"/>
        <w:ind w:firstLine="420" w:firstLineChars="200"/>
        <w:rPr>
          <w:szCs w:val="21"/>
          <w:lang w:val="de-DE"/>
        </w:rPr>
      </w:pPr>
      <w:r>
        <w:rPr>
          <w:szCs w:val="21"/>
          <w:lang w:val="de-DE"/>
        </w:rPr>
        <w:t>[5.2]=[5.2.1]+[5.2.2]</w:t>
      </w:r>
      <w:r>
        <w:rPr>
          <w:rFonts w:hint="eastAsia"/>
          <w:szCs w:val="21"/>
          <w:lang w:val="de-DE"/>
        </w:rPr>
        <w:t>，适用于A、C、D、E、G列</w:t>
      </w:r>
    </w:p>
    <w:p>
      <w:pPr>
        <w:spacing w:line="440" w:lineRule="exact"/>
        <w:ind w:firstLine="420" w:firstLineChars="200"/>
        <w:rPr>
          <w:szCs w:val="21"/>
          <w:lang w:val="de-DE"/>
        </w:rPr>
      </w:pPr>
      <w:r>
        <w:rPr>
          <w:szCs w:val="21"/>
          <w:lang w:val="de-DE"/>
        </w:rPr>
        <w:t>[5.2.1]= [5.2</w:t>
      </w:r>
      <w:r>
        <w:rPr>
          <w:rFonts w:hint="eastAsia"/>
          <w:szCs w:val="21"/>
          <w:lang w:val="de-DE"/>
        </w:rPr>
        <w:t>.1.</w:t>
      </w:r>
      <w:r>
        <w:rPr>
          <w:szCs w:val="21"/>
          <w:lang w:val="de-DE"/>
        </w:rPr>
        <w:t>1]+[5.2</w:t>
      </w:r>
      <w:r>
        <w:rPr>
          <w:rFonts w:hint="eastAsia"/>
          <w:szCs w:val="21"/>
          <w:lang w:val="de-DE"/>
        </w:rPr>
        <w:t>.1.</w:t>
      </w:r>
      <w:r>
        <w:rPr>
          <w:szCs w:val="21"/>
          <w:lang w:val="de-DE"/>
        </w:rPr>
        <w:t>2]+ …+[5.2</w:t>
      </w:r>
      <w:r>
        <w:rPr>
          <w:rFonts w:hint="eastAsia"/>
          <w:szCs w:val="21"/>
          <w:lang w:val="de-DE"/>
        </w:rPr>
        <w:t>.1.</w:t>
      </w:r>
      <w:r>
        <w:rPr>
          <w:szCs w:val="21"/>
          <w:lang w:val="de-DE"/>
        </w:rPr>
        <w:t>16]</w:t>
      </w:r>
      <w:r>
        <w:rPr>
          <w:rFonts w:hint="eastAsia"/>
          <w:szCs w:val="21"/>
          <w:lang w:val="de-DE"/>
        </w:rPr>
        <w:t>，适用于A、C、D、E、G列</w:t>
      </w:r>
    </w:p>
    <w:p>
      <w:pPr>
        <w:spacing w:line="440" w:lineRule="exact"/>
        <w:ind w:firstLine="420" w:firstLineChars="200"/>
        <w:rPr>
          <w:szCs w:val="21"/>
          <w:lang w:val="de-DE"/>
        </w:rPr>
      </w:pPr>
      <w:r>
        <w:rPr>
          <w:szCs w:val="21"/>
          <w:lang w:val="de-DE"/>
        </w:rPr>
        <w:t>[5.2.2]= [5.2</w:t>
      </w:r>
      <w:r>
        <w:rPr>
          <w:rFonts w:hint="eastAsia"/>
          <w:szCs w:val="21"/>
          <w:lang w:val="de-DE"/>
        </w:rPr>
        <w:t>.</w:t>
      </w:r>
      <w:r>
        <w:rPr>
          <w:szCs w:val="21"/>
          <w:lang w:val="de-DE"/>
        </w:rPr>
        <w:t>2</w:t>
      </w:r>
      <w:r>
        <w:rPr>
          <w:rFonts w:hint="eastAsia"/>
          <w:szCs w:val="21"/>
          <w:lang w:val="de-DE"/>
        </w:rPr>
        <w:t>.</w:t>
      </w:r>
      <w:r>
        <w:rPr>
          <w:szCs w:val="21"/>
          <w:lang w:val="de-DE"/>
        </w:rPr>
        <w:t>1]+[5.2</w:t>
      </w:r>
      <w:r>
        <w:rPr>
          <w:rFonts w:hint="eastAsia"/>
          <w:szCs w:val="21"/>
          <w:lang w:val="de-DE"/>
        </w:rPr>
        <w:t>.</w:t>
      </w:r>
      <w:r>
        <w:rPr>
          <w:szCs w:val="21"/>
          <w:lang w:val="de-DE"/>
        </w:rPr>
        <w:t>2</w:t>
      </w:r>
      <w:r>
        <w:rPr>
          <w:rFonts w:hint="eastAsia"/>
          <w:szCs w:val="21"/>
          <w:lang w:val="de-DE"/>
        </w:rPr>
        <w:t>.</w:t>
      </w:r>
      <w:r>
        <w:rPr>
          <w:szCs w:val="21"/>
          <w:lang w:val="de-DE"/>
        </w:rPr>
        <w:t>2]+ …+[5.2</w:t>
      </w:r>
      <w:r>
        <w:rPr>
          <w:rFonts w:hint="eastAsia"/>
          <w:szCs w:val="21"/>
          <w:lang w:val="de-DE"/>
        </w:rPr>
        <w:t>.</w:t>
      </w:r>
      <w:r>
        <w:rPr>
          <w:szCs w:val="21"/>
          <w:lang w:val="de-DE"/>
        </w:rPr>
        <w:t>2</w:t>
      </w:r>
      <w:r>
        <w:rPr>
          <w:rFonts w:hint="eastAsia"/>
          <w:szCs w:val="21"/>
          <w:lang w:val="de-DE"/>
        </w:rPr>
        <w:t>.</w:t>
      </w:r>
      <w:r>
        <w:rPr>
          <w:szCs w:val="21"/>
          <w:lang w:val="de-DE"/>
        </w:rPr>
        <w:t>16]</w:t>
      </w:r>
      <w:r>
        <w:rPr>
          <w:rFonts w:hint="eastAsia"/>
          <w:szCs w:val="21"/>
          <w:lang w:val="de-DE"/>
        </w:rPr>
        <w:t>，适用于A、C、D、E、G列</w:t>
      </w:r>
    </w:p>
    <w:p>
      <w:pPr>
        <w:spacing w:line="440" w:lineRule="exact"/>
        <w:ind w:firstLine="420" w:firstLineChars="200"/>
        <w:rPr>
          <w:szCs w:val="21"/>
          <w:lang w:val="de-DE"/>
        </w:rPr>
      </w:pPr>
      <w:r>
        <w:rPr>
          <w:szCs w:val="21"/>
          <w:lang w:val="de-DE"/>
        </w:rPr>
        <w:t>[6.]=[6.1]+[6.2]+ …</w:t>
      </w:r>
      <w:r>
        <w:rPr>
          <w:rFonts w:hint="eastAsia"/>
          <w:szCs w:val="21"/>
          <w:lang w:val="de-DE"/>
        </w:rPr>
        <w:t>+</w:t>
      </w:r>
      <w:r>
        <w:rPr>
          <w:szCs w:val="21"/>
          <w:lang w:val="de-DE"/>
        </w:rPr>
        <w:t>[</w:t>
      </w:r>
      <w:r>
        <w:rPr>
          <w:rFonts w:hint="eastAsia"/>
          <w:szCs w:val="21"/>
          <w:lang w:val="de-DE"/>
        </w:rPr>
        <w:t>6</w:t>
      </w:r>
      <w:r>
        <w:rPr>
          <w:szCs w:val="21"/>
          <w:lang w:val="de-DE"/>
        </w:rPr>
        <w:t>.16]</w:t>
      </w:r>
      <w:r>
        <w:rPr>
          <w:rFonts w:hint="eastAsia"/>
          <w:szCs w:val="21"/>
          <w:lang w:val="de-DE"/>
        </w:rPr>
        <w:t>，适用于A、C、D、E、G列</w:t>
      </w:r>
    </w:p>
    <w:p>
      <w:pPr>
        <w:spacing w:line="440" w:lineRule="exact"/>
        <w:ind w:firstLine="420" w:firstLineChars="200"/>
        <w:rPr>
          <w:szCs w:val="21"/>
          <w:lang w:val="de-DE"/>
        </w:rPr>
      </w:pPr>
      <w:r>
        <w:rPr>
          <w:szCs w:val="21"/>
          <w:lang w:val="de-DE"/>
        </w:rPr>
        <w:t>[7.]=[7.1]+[7.2]+ …+[7.13]</w:t>
      </w:r>
      <w:r>
        <w:rPr>
          <w:rFonts w:hint="eastAsia"/>
          <w:szCs w:val="21"/>
          <w:lang w:val="de-DE"/>
        </w:rPr>
        <w:t>，适用于A、C、D、E、G列</w:t>
      </w:r>
    </w:p>
    <w:p>
      <w:pPr>
        <w:spacing w:line="440" w:lineRule="exact"/>
        <w:ind w:firstLine="420" w:firstLineChars="200"/>
        <w:rPr>
          <w:szCs w:val="21"/>
          <w:lang w:val="de-DE"/>
        </w:rPr>
      </w:pPr>
      <w:r>
        <w:rPr>
          <w:szCs w:val="21"/>
          <w:lang w:val="de-DE"/>
        </w:rPr>
        <w:t>[8.]=[8.1]+[8.2]+ …</w:t>
      </w:r>
      <w:r>
        <w:rPr>
          <w:rFonts w:hint="eastAsia"/>
          <w:szCs w:val="21"/>
          <w:lang w:val="de-DE"/>
        </w:rPr>
        <w:t>+</w:t>
      </w:r>
      <w:r>
        <w:rPr>
          <w:szCs w:val="21"/>
          <w:lang w:val="de-DE"/>
        </w:rPr>
        <w:t>[</w:t>
      </w:r>
      <w:r>
        <w:rPr>
          <w:rFonts w:hint="eastAsia"/>
          <w:szCs w:val="21"/>
          <w:lang w:val="de-DE"/>
        </w:rPr>
        <w:t>8.</w:t>
      </w:r>
      <w:r>
        <w:rPr>
          <w:szCs w:val="21"/>
          <w:lang w:val="de-DE"/>
        </w:rPr>
        <w:t>16]</w:t>
      </w:r>
      <w:r>
        <w:rPr>
          <w:rFonts w:hint="eastAsia"/>
          <w:szCs w:val="21"/>
          <w:lang w:val="de-DE"/>
        </w:rPr>
        <w:t>，适用于A、C、D、E、G列</w:t>
      </w:r>
    </w:p>
    <w:p>
      <w:pPr>
        <w:spacing w:line="440" w:lineRule="exact"/>
        <w:ind w:firstLine="420" w:firstLineChars="200"/>
        <w:rPr>
          <w:szCs w:val="21"/>
          <w:lang w:val="de-DE"/>
        </w:rPr>
      </w:pPr>
      <w:r>
        <w:rPr>
          <w:szCs w:val="21"/>
          <w:lang w:val="de-DE"/>
        </w:rPr>
        <w:t>[9.]=[9.1]+[9.2]+ …</w:t>
      </w:r>
      <w:r>
        <w:rPr>
          <w:rFonts w:hint="eastAsia"/>
          <w:szCs w:val="21"/>
          <w:lang w:val="de-DE"/>
        </w:rPr>
        <w:t>+</w:t>
      </w:r>
      <w:r>
        <w:rPr>
          <w:szCs w:val="21"/>
          <w:lang w:val="de-DE"/>
        </w:rPr>
        <w:t>[</w:t>
      </w:r>
      <w:r>
        <w:rPr>
          <w:rFonts w:hint="eastAsia"/>
          <w:szCs w:val="21"/>
          <w:lang w:val="de-DE"/>
        </w:rPr>
        <w:t>9.</w:t>
      </w:r>
      <w:r>
        <w:rPr>
          <w:szCs w:val="21"/>
          <w:lang w:val="de-DE"/>
        </w:rPr>
        <w:t>16]</w:t>
      </w:r>
      <w:r>
        <w:rPr>
          <w:rFonts w:hint="eastAsia"/>
          <w:szCs w:val="21"/>
          <w:lang w:val="de-DE"/>
        </w:rPr>
        <w:t>，适用于A、C、D、E、G列</w:t>
      </w:r>
    </w:p>
    <w:p>
      <w:pPr>
        <w:spacing w:line="440" w:lineRule="exact"/>
        <w:ind w:firstLine="420" w:firstLineChars="200"/>
        <w:rPr>
          <w:szCs w:val="21"/>
          <w:lang w:val="de-DE"/>
        </w:rPr>
      </w:pPr>
      <w:r>
        <w:rPr>
          <w:szCs w:val="21"/>
          <w:lang w:val="de-DE"/>
        </w:rPr>
        <w:t>[10.]=[10.1]+[10.2]</w:t>
      </w:r>
      <w:r>
        <w:rPr>
          <w:rFonts w:hint="eastAsia"/>
          <w:szCs w:val="21"/>
          <w:lang w:val="de-DE"/>
        </w:rPr>
        <w:t>，适用于A、C、D、E、G列</w:t>
      </w:r>
    </w:p>
    <w:p>
      <w:pPr>
        <w:spacing w:line="440" w:lineRule="exact"/>
        <w:ind w:firstLine="420" w:firstLineChars="200"/>
        <w:rPr>
          <w:szCs w:val="21"/>
          <w:lang w:val="de-DE"/>
        </w:rPr>
      </w:pPr>
      <w:r>
        <w:rPr>
          <w:szCs w:val="21"/>
          <w:lang w:val="de-DE"/>
        </w:rPr>
        <w:t>[10.1]=[10.1.1]+[10.1.2]+ …+[10.1.13]</w:t>
      </w:r>
      <w:r>
        <w:rPr>
          <w:rFonts w:hint="eastAsia"/>
          <w:szCs w:val="21"/>
          <w:lang w:val="de-DE"/>
        </w:rPr>
        <w:t>，适用于A、C、D、E、G列</w:t>
      </w:r>
    </w:p>
    <w:p>
      <w:pPr>
        <w:spacing w:line="440" w:lineRule="exact"/>
        <w:ind w:firstLine="420" w:firstLineChars="200"/>
        <w:rPr>
          <w:szCs w:val="21"/>
          <w:lang w:val="de-DE"/>
        </w:rPr>
      </w:pPr>
      <w:r>
        <w:rPr>
          <w:szCs w:val="21"/>
          <w:lang w:val="de-DE"/>
        </w:rPr>
        <w:t>[10.2]=[10.2.1]+[10.2.2]+ …+[10.2.13]</w:t>
      </w:r>
      <w:r>
        <w:rPr>
          <w:rFonts w:hint="eastAsia"/>
          <w:szCs w:val="21"/>
          <w:lang w:val="de-DE"/>
        </w:rPr>
        <w:t>，适用于A、C、D、E、G列</w:t>
      </w:r>
    </w:p>
    <w:p>
      <w:pPr>
        <w:spacing w:line="440" w:lineRule="exact"/>
        <w:ind w:firstLine="420" w:firstLineChars="200"/>
        <w:rPr>
          <w:szCs w:val="21"/>
          <w:lang w:val="de-DE"/>
        </w:rPr>
      </w:pPr>
      <w:r>
        <w:rPr>
          <w:szCs w:val="21"/>
          <w:lang w:val="de-DE"/>
        </w:rPr>
        <w:t>[C]=[A]×[B]</w:t>
      </w:r>
      <w:r>
        <w:rPr>
          <w:rFonts w:hint="eastAsia"/>
          <w:szCs w:val="21"/>
          <w:lang w:val="de-DE"/>
        </w:rPr>
        <w:t>，适用于1.1.1-1.1.</w:t>
      </w:r>
      <w:r>
        <w:rPr>
          <w:szCs w:val="21"/>
          <w:lang w:val="de-DE"/>
        </w:rPr>
        <w:t>13</w:t>
      </w:r>
      <w:r>
        <w:rPr>
          <w:rFonts w:hint="eastAsia"/>
          <w:szCs w:val="21"/>
          <w:lang w:val="de-DE"/>
        </w:rPr>
        <w:t>；1.2.1-1.2.</w:t>
      </w:r>
      <w:r>
        <w:rPr>
          <w:szCs w:val="21"/>
          <w:lang w:val="de-DE"/>
        </w:rPr>
        <w:t>13</w:t>
      </w:r>
      <w:r>
        <w:rPr>
          <w:rFonts w:hint="eastAsia"/>
          <w:szCs w:val="21"/>
          <w:lang w:val="de-DE"/>
        </w:rPr>
        <w:t>；1.3.1-1.3.</w:t>
      </w:r>
      <w:r>
        <w:rPr>
          <w:szCs w:val="21"/>
          <w:lang w:val="de-DE"/>
        </w:rPr>
        <w:t>13</w:t>
      </w:r>
      <w:r>
        <w:rPr>
          <w:rFonts w:hint="eastAsia"/>
          <w:szCs w:val="21"/>
          <w:lang w:val="de-DE"/>
        </w:rPr>
        <w:t>；2.1.1-2.1.</w:t>
      </w:r>
      <w:r>
        <w:rPr>
          <w:szCs w:val="21"/>
          <w:lang w:val="de-DE"/>
        </w:rPr>
        <w:t>13</w:t>
      </w:r>
      <w:r>
        <w:rPr>
          <w:rFonts w:hint="eastAsia"/>
          <w:szCs w:val="21"/>
          <w:lang w:val="de-DE"/>
        </w:rPr>
        <w:t>；2.2.1-2.2.</w:t>
      </w:r>
      <w:r>
        <w:rPr>
          <w:szCs w:val="21"/>
          <w:lang w:val="de-DE"/>
        </w:rPr>
        <w:t>13</w:t>
      </w:r>
      <w:r>
        <w:rPr>
          <w:rFonts w:hint="eastAsia"/>
          <w:szCs w:val="21"/>
          <w:lang w:val="de-DE"/>
        </w:rPr>
        <w:t>；3.1.</w:t>
      </w:r>
      <w:r>
        <w:rPr>
          <w:szCs w:val="21"/>
          <w:lang w:val="de-DE"/>
        </w:rPr>
        <w:t>1.1</w:t>
      </w:r>
      <w:r>
        <w:rPr>
          <w:rFonts w:hint="eastAsia"/>
          <w:szCs w:val="21"/>
          <w:lang w:val="de-DE"/>
        </w:rPr>
        <w:t>-3.1.</w:t>
      </w:r>
      <w:r>
        <w:rPr>
          <w:szCs w:val="21"/>
          <w:lang w:val="de-DE"/>
        </w:rPr>
        <w:t>1.13</w:t>
      </w:r>
      <w:r>
        <w:rPr>
          <w:rFonts w:hint="eastAsia"/>
          <w:szCs w:val="21"/>
          <w:lang w:val="de-DE"/>
        </w:rPr>
        <w:t>；3.</w:t>
      </w:r>
      <w:r>
        <w:rPr>
          <w:szCs w:val="21"/>
          <w:lang w:val="de-DE"/>
        </w:rPr>
        <w:t>1.</w:t>
      </w:r>
      <w:r>
        <w:rPr>
          <w:rFonts w:hint="eastAsia"/>
          <w:szCs w:val="21"/>
          <w:lang w:val="de-DE"/>
        </w:rPr>
        <w:t>2.1-3.</w:t>
      </w:r>
      <w:r>
        <w:rPr>
          <w:szCs w:val="21"/>
          <w:lang w:val="de-DE"/>
        </w:rPr>
        <w:t>1.</w:t>
      </w:r>
      <w:r>
        <w:rPr>
          <w:rFonts w:hint="eastAsia"/>
          <w:szCs w:val="21"/>
          <w:lang w:val="de-DE"/>
        </w:rPr>
        <w:t>2.</w:t>
      </w:r>
      <w:r>
        <w:rPr>
          <w:szCs w:val="21"/>
          <w:lang w:val="de-DE"/>
        </w:rPr>
        <w:t>13</w:t>
      </w:r>
      <w:r>
        <w:rPr>
          <w:rFonts w:hint="eastAsia"/>
          <w:szCs w:val="21"/>
          <w:lang w:val="de-DE"/>
        </w:rPr>
        <w:t>；3.</w:t>
      </w:r>
      <w:r>
        <w:rPr>
          <w:szCs w:val="21"/>
          <w:lang w:val="de-DE"/>
        </w:rPr>
        <w:t>2</w:t>
      </w:r>
      <w:r>
        <w:rPr>
          <w:rFonts w:hint="eastAsia"/>
          <w:szCs w:val="21"/>
          <w:lang w:val="de-DE"/>
        </w:rPr>
        <w:t>.1-3.</w:t>
      </w:r>
      <w:r>
        <w:rPr>
          <w:szCs w:val="21"/>
          <w:lang w:val="de-DE"/>
        </w:rPr>
        <w:t>2.13</w:t>
      </w:r>
      <w:r>
        <w:rPr>
          <w:rFonts w:hint="eastAsia"/>
          <w:szCs w:val="21"/>
          <w:lang w:val="de-DE"/>
        </w:rPr>
        <w:t>；3.</w:t>
      </w:r>
      <w:r>
        <w:rPr>
          <w:szCs w:val="21"/>
          <w:lang w:val="de-DE"/>
        </w:rPr>
        <w:t>3</w:t>
      </w:r>
      <w:r>
        <w:rPr>
          <w:rFonts w:hint="eastAsia"/>
          <w:szCs w:val="21"/>
          <w:lang w:val="de-DE"/>
        </w:rPr>
        <w:t>.1-3.</w:t>
      </w:r>
      <w:r>
        <w:rPr>
          <w:szCs w:val="21"/>
          <w:lang w:val="de-DE"/>
        </w:rPr>
        <w:t>3.13</w:t>
      </w:r>
      <w:r>
        <w:rPr>
          <w:rFonts w:hint="eastAsia"/>
          <w:szCs w:val="21"/>
          <w:lang w:val="de-DE"/>
        </w:rPr>
        <w:t>；4.2.1-4.2.13；4.3.1-4.3.13； 4.4.1.1-4.4.1.13；4.4.</w:t>
      </w:r>
      <w:r>
        <w:rPr>
          <w:szCs w:val="21"/>
          <w:lang w:val="de-DE"/>
        </w:rPr>
        <w:t>2</w:t>
      </w:r>
      <w:r>
        <w:rPr>
          <w:rFonts w:hint="eastAsia"/>
          <w:szCs w:val="21"/>
          <w:lang w:val="de-DE"/>
        </w:rPr>
        <w:t>.1-4.4.</w:t>
      </w:r>
      <w:r>
        <w:rPr>
          <w:szCs w:val="21"/>
          <w:lang w:val="de-DE"/>
        </w:rPr>
        <w:t>2</w:t>
      </w:r>
      <w:r>
        <w:rPr>
          <w:rFonts w:hint="eastAsia"/>
          <w:szCs w:val="21"/>
          <w:lang w:val="de-DE"/>
        </w:rPr>
        <w:t>.13；4.5.1-4.5.13；4.6.1-4.6.13；4.7.1-4.7.13; 5.1.1-5.1.16；5.2.1</w:t>
      </w:r>
      <w:r>
        <w:rPr>
          <w:szCs w:val="21"/>
          <w:lang w:val="de-DE"/>
        </w:rPr>
        <w:t>.1</w:t>
      </w:r>
      <w:r>
        <w:rPr>
          <w:rFonts w:hint="eastAsia"/>
          <w:szCs w:val="21"/>
          <w:lang w:val="de-DE"/>
        </w:rPr>
        <w:t>-5.2.</w:t>
      </w:r>
      <w:r>
        <w:rPr>
          <w:szCs w:val="21"/>
          <w:lang w:val="de-DE"/>
        </w:rPr>
        <w:t>1.</w:t>
      </w:r>
      <w:r>
        <w:rPr>
          <w:rFonts w:hint="eastAsia"/>
          <w:szCs w:val="21"/>
          <w:lang w:val="de-DE"/>
        </w:rPr>
        <w:t>16；5.2.</w:t>
      </w:r>
      <w:r>
        <w:rPr>
          <w:szCs w:val="21"/>
          <w:lang w:val="de-DE"/>
        </w:rPr>
        <w:t>2.1</w:t>
      </w:r>
      <w:r>
        <w:rPr>
          <w:rFonts w:hint="eastAsia"/>
          <w:szCs w:val="21"/>
          <w:lang w:val="de-DE"/>
        </w:rPr>
        <w:t>-5.2.</w:t>
      </w:r>
      <w:r>
        <w:rPr>
          <w:szCs w:val="21"/>
          <w:lang w:val="de-DE"/>
        </w:rPr>
        <w:t>2.</w:t>
      </w:r>
      <w:r>
        <w:rPr>
          <w:rFonts w:hint="eastAsia"/>
          <w:szCs w:val="21"/>
          <w:lang w:val="de-DE"/>
        </w:rPr>
        <w:t>16；6.1-6.16；7.1-7.13；8.1-8.16；9.1-9.16；10.1.1-10.1.13；10.2.1-10.2.13；12行</w:t>
      </w:r>
    </w:p>
    <w:p>
      <w:pPr>
        <w:spacing w:line="440" w:lineRule="exact"/>
        <w:ind w:firstLine="420" w:firstLineChars="200"/>
        <w:rPr>
          <w:szCs w:val="21"/>
          <w:lang w:val="de-DE"/>
        </w:rPr>
      </w:pPr>
      <w:r>
        <w:rPr>
          <w:szCs w:val="21"/>
          <w:lang w:val="de-DE"/>
        </w:rPr>
        <w:t>[E]=[C]-[D]</w:t>
      </w:r>
      <w:r>
        <w:rPr>
          <w:rFonts w:hint="eastAsia"/>
          <w:szCs w:val="21"/>
          <w:lang w:val="de-DE"/>
        </w:rPr>
        <w:t>，适用于1.1.1-1.1.13；1.2.1-1.2.13；1.3.1-1.3.13；2.1.1-2.1.13；2.2.1-2.2.13；3.1.</w:t>
      </w:r>
      <w:r>
        <w:rPr>
          <w:szCs w:val="21"/>
          <w:lang w:val="de-DE"/>
        </w:rPr>
        <w:t>1.1</w:t>
      </w:r>
      <w:r>
        <w:rPr>
          <w:rFonts w:hint="eastAsia"/>
          <w:szCs w:val="21"/>
          <w:lang w:val="de-DE"/>
        </w:rPr>
        <w:t>-3.1.</w:t>
      </w:r>
      <w:r>
        <w:rPr>
          <w:szCs w:val="21"/>
          <w:lang w:val="de-DE"/>
        </w:rPr>
        <w:t>1.13</w:t>
      </w:r>
      <w:r>
        <w:rPr>
          <w:rFonts w:hint="eastAsia"/>
          <w:szCs w:val="21"/>
          <w:lang w:val="de-DE"/>
        </w:rPr>
        <w:t>；3.</w:t>
      </w:r>
      <w:r>
        <w:rPr>
          <w:szCs w:val="21"/>
          <w:lang w:val="de-DE"/>
        </w:rPr>
        <w:t>1.</w:t>
      </w:r>
      <w:r>
        <w:rPr>
          <w:rFonts w:hint="eastAsia"/>
          <w:szCs w:val="21"/>
          <w:lang w:val="de-DE"/>
        </w:rPr>
        <w:t>2.1-3.</w:t>
      </w:r>
      <w:r>
        <w:rPr>
          <w:szCs w:val="21"/>
          <w:lang w:val="de-DE"/>
        </w:rPr>
        <w:t>1.</w:t>
      </w:r>
      <w:r>
        <w:rPr>
          <w:rFonts w:hint="eastAsia"/>
          <w:szCs w:val="21"/>
          <w:lang w:val="de-DE"/>
        </w:rPr>
        <w:t>2.13；3.</w:t>
      </w:r>
      <w:r>
        <w:rPr>
          <w:szCs w:val="21"/>
          <w:lang w:val="de-DE"/>
        </w:rPr>
        <w:t>2</w:t>
      </w:r>
      <w:r>
        <w:rPr>
          <w:rFonts w:hint="eastAsia"/>
          <w:szCs w:val="21"/>
          <w:lang w:val="de-DE"/>
        </w:rPr>
        <w:t>.1-3.</w:t>
      </w:r>
      <w:r>
        <w:rPr>
          <w:szCs w:val="21"/>
          <w:lang w:val="de-DE"/>
        </w:rPr>
        <w:t>2.13</w:t>
      </w:r>
      <w:r>
        <w:rPr>
          <w:rFonts w:hint="eastAsia"/>
          <w:szCs w:val="21"/>
          <w:lang w:val="de-DE"/>
        </w:rPr>
        <w:t>；3.</w:t>
      </w:r>
      <w:r>
        <w:rPr>
          <w:szCs w:val="21"/>
          <w:lang w:val="de-DE"/>
        </w:rPr>
        <w:t>3</w:t>
      </w:r>
      <w:r>
        <w:rPr>
          <w:rFonts w:hint="eastAsia"/>
          <w:szCs w:val="21"/>
          <w:lang w:val="de-DE"/>
        </w:rPr>
        <w:t>.1-3.</w:t>
      </w:r>
      <w:r>
        <w:rPr>
          <w:szCs w:val="21"/>
          <w:lang w:val="de-DE"/>
        </w:rPr>
        <w:t>3.13</w:t>
      </w:r>
      <w:r>
        <w:rPr>
          <w:rFonts w:hint="eastAsia"/>
          <w:szCs w:val="21"/>
          <w:lang w:val="de-DE"/>
        </w:rPr>
        <w:t>；4.2.1-4.2.13；4.3.1-4.3.13； 4.4.1.1-4.4.1.13；4.4.</w:t>
      </w:r>
      <w:r>
        <w:rPr>
          <w:szCs w:val="21"/>
          <w:lang w:val="de-DE"/>
        </w:rPr>
        <w:t>2</w:t>
      </w:r>
      <w:r>
        <w:rPr>
          <w:rFonts w:hint="eastAsia"/>
          <w:szCs w:val="21"/>
          <w:lang w:val="de-DE"/>
        </w:rPr>
        <w:t>.1-4.4.</w:t>
      </w:r>
      <w:r>
        <w:rPr>
          <w:szCs w:val="21"/>
          <w:lang w:val="de-DE"/>
        </w:rPr>
        <w:t>2</w:t>
      </w:r>
      <w:r>
        <w:rPr>
          <w:rFonts w:hint="eastAsia"/>
          <w:szCs w:val="21"/>
          <w:lang w:val="de-DE"/>
        </w:rPr>
        <w:t>.13；4.5.1-4.5.13；4.6.1-4.6.13；4.7.1-4.7.13; 5.1.1-5.1.16；5.2.1</w:t>
      </w:r>
      <w:r>
        <w:rPr>
          <w:szCs w:val="21"/>
          <w:lang w:val="de-DE"/>
        </w:rPr>
        <w:t>.1</w:t>
      </w:r>
      <w:r>
        <w:rPr>
          <w:rFonts w:hint="eastAsia"/>
          <w:szCs w:val="21"/>
          <w:lang w:val="de-DE"/>
        </w:rPr>
        <w:t>-5.2.</w:t>
      </w:r>
      <w:r>
        <w:rPr>
          <w:szCs w:val="21"/>
          <w:lang w:val="de-DE"/>
        </w:rPr>
        <w:t>1.</w:t>
      </w:r>
      <w:r>
        <w:rPr>
          <w:rFonts w:hint="eastAsia"/>
          <w:szCs w:val="21"/>
          <w:lang w:val="de-DE"/>
        </w:rPr>
        <w:t>16；5.2.</w:t>
      </w:r>
      <w:r>
        <w:rPr>
          <w:szCs w:val="21"/>
          <w:lang w:val="de-DE"/>
        </w:rPr>
        <w:t>2.1</w:t>
      </w:r>
      <w:r>
        <w:rPr>
          <w:rFonts w:hint="eastAsia"/>
          <w:szCs w:val="21"/>
          <w:lang w:val="de-DE"/>
        </w:rPr>
        <w:t>-5.2.</w:t>
      </w:r>
      <w:r>
        <w:rPr>
          <w:szCs w:val="21"/>
          <w:lang w:val="de-DE"/>
        </w:rPr>
        <w:t>2.</w:t>
      </w:r>
      <w:r>
        <w:rPr>
          <w:rFonts w:hint="eastAsia"/>
          <w:szCs w:val="21"/>
          <w:lang w:val="de-DE"/>
        </w:rPr>
        <w:t>16；6.1-6.16；7.1-7.13；8.1-8.16；9.1-9.16；10.1.1-10.1.13；10.2.1-10.2.13；12行</w:t>
      </w:r>
    </w:p>
    <w:p>
      <w:pPr>
        <w:spacing w:line="440" w:lineRule="exact"/>
        <w:ind w:firstLine="420" w:firstLineChars="200"/>
        <w:rPr>
          <w:szCs w:val="21"/>
          <w:lang w:val="de-DE"/>
        </w:rPr>
      </w:pPr>
      <w:r>
        <w:rPr>
          <w:szCs w:val="21"/>
          <w:lang w:val="de-DE"/>
        </w:rPr>
        <w:t>[G]=[E]×[F]</w:t>
      </w:r>
      <w:r>
        <w:rPr>
          <w:rFonts w:hint="eastAsia"/>
          <w:szCs w:val="21"/>
          <w:lang w:val="de-DE"/>
        </w:rPr>
        <w:t>，适用于1.1.1-1.1.12；1.2.1-1.2.12；1.3.1-1.3.12；2.1.1-2.1.12；2.2.1-2.2.12；3.1.</w:t>
      </w:r>
      <w:r>
        <w:rPr>
          <w:szCs w:val="21"/>
          <w:lang w:val="de-DE"/>
        </w:rPr>
        <w:t>1.1</w:t>
      </w:r>
      <w:r>
        <w:rPr>
          <w:rFonts w:hint="eastAsia"/>
          <w:szCs w:val="21"/>
          <w:lang w:val="de-DE"/>
        </w:rPr>
        <w:t>-3.1.</w:t>
      </w:r>
      <w:r>
        <w:rPr>
          <w:szCs w:val="21"/>
          <w:lang w:val="de-DE"/>
        </w:rPr>
        <w:t>1.12</w:t>
      </w:r>
      <w:r>
        <w:rPr>
          <w:rFonts w:hint="eastAsia"/>
          <w:szCs w:val="21"/>
          <w:lang w:val="de-DE"/>
        </w:rPr>
        <w:t>；3.</w:t>
      </w:r>
      <w:r>
        <w:rPr>
          <w:szCs w:val="21"/>
          <w:lang w:val="de-DE"/>
        </w:rPr>
        <w:t>1.</w:t>
      </w:r>
      <w:r>
        <w:rPr>
          <w:rFonts w:hint="eastAsia"/>
          <w:szCs w:val="21"/>
          <w:lang w:val="de-DE"/>
        </w:rPr>
        <w:t>2.1-3.</w:t>
      </w:r>
      <w:r>
        <w:rPr>
          <w:szCs w:val="21"/>
          <w:lang w:val="de-DE"/>
        </w:rPr>
        <w:t>1.</w:t>
      </w:r>
      <w:r>
        <w:rPr>
          <w:rFonts w:hint="eastAsia"/>
          <w:szCs w:val="21"/>
          <w:lang w:val="de-DE"/>
        </w:rPr>
        <w:t>2.12；3.</w:t>
      </w:r>
      <w:r>
        <w:rPr>
          <w:szCs w:val="21"/>
          <w:lang w:val="de-DE"/>
        </w:rPr>
        <w:t>2</w:t>
      </w:r>
      <w:r>
        <w:rPr>
          <w:rFonts w:hint="eastAsia"/>
          <w:szCs w:val="21"/>
          <w:lang w:val="de-DE"/>
        </w:rPr>
        <w:t>.1-3.</w:t>
      </w:r>
      <w:r>
        <w:rPr>
          <w:szCs w:val="21"/>
          <w:lang w:val="de-DE"/>
        </w:rPr>
        <w:t>2.12</w:t>
      </w:r>
      <w:r>
        <w:rPr>
          <w:rFonts w:hint="eastAsia"/>
          <w:szCs w:val="21"/>
          <w:lang w:val="de-DE"/>
        </w:rPr>
        <w:t>; 3.</w:t>
      </w:r>
      <w:r>
        <w:rPr>
          <w:szCs w:val="21"/>
          <w:lang w:val="de-DE"/>
        </w:rPr>
        <w:t>3</w:t>
      </w:r>
      <w:r>
        <w:rPr>
          <w:rFonts w:hint="eastAsia"/>
          <w:szCs w:val="21"/>
          <w:lang w:val="de-DE"/>
        </w:rPr>
        <w:t>.1-3.</w:t>
      </w:r>
      <w:r>
        <w:rPr>
          <w:szCs w:val="21"/>
          <w:lang w:val="de-DE"/>
        </w:rPr>
        <w:t>3.12</w:t>
      </w:r>
      <w:r>
        <w:rPr>
          <w:rFonts w:hint="eastAsia"/>
          <w:szCs w:val="21"/>
          <w:lang w:val="de-DE"/>
        </w:rPr>
        <w:t>；4.2.1-4.2.12；4.3.1-4.3.12； 4.4.1.1-4.4.1.12；4.4.</w:t>
      </w:r>
      <w:r>
        <w:rPr>
          <w:szCs w:val="21"/>
          <w:lang w:val="de-DE"/>
        </w:rPr>
        <w:t>2</w:t>
      </w:r>
      <w:r>
        <w:rPr>
          <w:rFonts w:hint="eastAsia"/>
          <w:szCs w:val="21"/>
          <w:lang w:val="de-DE"/>
        </w:rPr>
        <w:t>.1-4.4.</w:t>
      </w:r>
      <w:r>
        <w:rPr>
          <w:szCs w:val="21"/>
          <w:lang w:val="de-DE"/>
        </w:rPr>
        <w:t>2</w:t>
      </w:r>
      <w:r>
        <w:rPr>
          <w:rFonts w:hint="eastAsia"/>
          <w:szCs w:val="21"/>
          <w:lang w:val="de-DE"/>
        </w:rPr>
        <w:t>.12；4.5.1-4.5.12；4.6.1-4.6.12；4.7.1-4.7.12; 5.1.1-5.1.15；5.2.1</w:t>
      </w:r>
      <w:r>
        <w:rPr>
          <w:szCs w:val="21"/>
          <w:lang w:val="de-DE"/>
        </w:rPr>
        <w:t>.1</w:t>
      </w:r>
      <w:r>
        <w:rPr>
          <w:rFonts w:hint="eastAsia"/>
          <w:szCs w:val="21"/>
          <w:lang w:val="de-DE"/>
        </w:rPr>
        <w:t>-5.2.</w:t>
      </w:r>
      <w:r>
        <w:rPr>
          <w:szCs w:val="21"/>
          <w:lang w:val="de-DE"/>
        </w:rPr>
        <w:t>1.</w:t>
      </w:r>
      <w:r>
        <w:rPr>
          <w:rFonts w:hint="eastAsia"/>
          <w:szCs w:val="21"/>
          <w:lang w:val="de-DE"/>
        </w:rPr>
        <w:t>16；5.2.</w:t>
      </w:r>
      <w:r>
        <w:rPr>
          <w:szCs w:val="21"/>
          <w:lang w:val="de-DE"/>
        </w:rPr>
        <w:t>2.1</w:t>
      </w:r>
      <w:r>
        <w:rPr>
          <w:rFonts w:hint="eastAsia"/>
          <w:szCs w:val="21"/>
          <w:lang w:val="de-DE"/>
        </w:rPr>
        <w:t>-5.2.</w:t>
      </w:r>
      <w:r>
        <w:rPr>
          <w:szCs w:val="21"/>
          <w:lang w:val="de-DE"/>
        </w:rPr>
        <w:t>2.</w:t>
      </w:r>
      <w:r>
        <w:rPr>
          <w:rFonts w:hint="eastAsia"/>
          <w:szCs w:val="21"/>
          <w:lang w:val="de-DE"/>
        </w:rPr>
        <w:t>16；6.1-6.15；7.1-7.12；8.1-8.15；9.1-9.15；10.1.1-10.1.12；10.2.1-10.2.12</w:t>
      </w:r>
    </w:p>
    <w:p>
      <w:pPr>
        <w:spacing w:line="440" w:lineRule="exact"/>
        <w:ind w:firstLine="421" w:firstLineChars="200"/>
        <w:rPr>
          <w:rFonts w:hAnsi="宋体"/>
          <w:szCs w:val="21"/>
          <w:lang w:val="de-DE"/>
        </w:rPr>
      </w:pPr>
      <w:r>
        <w:rPr>
          <w:rFonts w:hAnsi="宋体"/>
          <w:b/>
          <w:szCs w:val="21"/>
        </w:rPr>
        <w:t>2.表</w:t>
      </w:r>
      <w:r>
        <w:rPr>
          <w:rFonts w:hint="eastAsia" w:hAnsi="宋体"/>
          <w:b/>
          <w:szCs w:val="21"/>
        </w:rPr>
        <w:t>间核对</w:t>
      </w:r>
      <w:r>
        <w:rPr>
          <w:rFonts w:hAnsi="宋体"/>
          <w:b/>
          <w:szCs w:val="21"/>
        </w:rPr>
        <w:t>关系</w:t>
      </w:r>
    </w:p>
    <w:p>
      <w:pPr>
        <w:spacing w:line="440" w:lineRule="exact"/>
        <w:ind w:firstLine="420" w:firstLineChars="200"/>
        <w:rPr>
          <w:rFonts w:hAnsi="宋体"/>
          <w:szCs w:val="21"/>
          <w:lang w:val="de-DE"/>
        </w:rPr>
      </w:pPr>
      <w:r>
        <w:rPr>
          <w:rFonts w:hint="eastAsia" w:hAnsi="宋体"/>
          <w:szCs w:val="21"/>
          <w:lang w:val="de-DE"/>
        </w:rPr>
        <w:t>[11.A]=G4B-4</w:t>
      </w:r>
      <w:r>
        <w:rPr>
          <w:rFonts w:hint="eastAsia"/>
          <w:szCs w:val="21"/>
          <w:lang w:val="de-DE"/>
        </w:rPr>
        <w:t>_</w:t>
      </w:r>
      <w:r>
        <w:rPr>
          <w:rFonts w:hint="eastAsia" w:hAnsi="宋体"/>
          <w:szCs w:val="21"/>
          <w:lang w:val="de-DE"/>
        </w:rPr>
        <w:t>[2.A]</w:t>
      </w:r>
    </w:p>
    <w:p>
      <w:pPr>
        <w:spacing w:line="440" w:lineRule="exact"/>
        <w:ind w:firstLine="420" w:firstLineChars="200"/>
        <w:rPr>
          <w:rFonts w:hAnsi="宋体"/>
          <w:szCs w:val="21"/>
          <w:lang w:val="de-DE"/>
        </w:rPr>
      </w:pPr>
      <w:r>
        <w:rPr>
          <w:rFonts w:hint="eastAsia" w:hAnsi="宋体"/>
          <w:szCs w:val="21"/>
          <w:lang w:val="de-DE"/>
        </w:rPr>
        <w:t>[11.E]=G4B-4</w:t>
      </w:r>
      <w:r>
        <w:rPr>
          <w:rFonts w:hint="eastAsia"/>
          <w:szCs w:val="21"/>
          <w:lang w:val="de-DE"/>
        </w:rPr>
        <w:t>_</w:t>
      </w:r>
      <w:r>
        <w:rPr>
          <w:rFonts w:hint="eastAsia" w:hAnsi="宋体"/>
          <w:szCs w:val="21"/>
          <w:lang w:val="de-DE"/>
        </w:rPr>
        <w:t>[2.B]</w:t>
      </w:r>
    </w:p>
    <w:p>
      <w:pPr>
        <w:spacing w:line="440" w:lineRule="exact"/>
        <w:ind w:firstLine="420" w:firstLineChars="200"/>
        <w:rPr>
          <w:rFonts w:hAnsi="宋体"/>
          <w:szCs w:val="21"/>
          <w:lang w:val="pt-BR"/>
        </w:rPr>
      </w:pPr>
      <w:r>
        <w:rPr>
          <w:rFonts w:hint="eastAsia" w:hAnsi="宋体"/>
          <w:szCs w:val="21"/>
          <w:lang w:val="pt-BR"/>
        </w:rPr>
        <w:t>[11.G]=G4B-4</w:t>
      </w:r>
      <w:r>
        <w:rPr>
          <w:rFonts w:hint="eastAsia"/>
          <w:szCs w:val="21"/>
          <w:lang w:val="pt-BR"/>
        </w:rPr>
        <w:t>_</w:t>
      </w:r>
      <w:r>
        <w:rPr>
          <w:rFonts w:hint="eastAsia" w:hAnsi="宋体"/>
          <w:szCs w:val="21"/>
          <w:lang w:val="pt-BR"/>
        </w:rPr>
        <w:t>[2.C]</w:t>
      </w:r>
    </w:p>
    <w:p>
      <w:pPr>
        <w:spacing w:line="440" w:lineRule="exact"/>
        <w:ind w:firstLine="420" w:firstLineChars="200"/>
        <w:rPr>
          <w:rFonts w:hint="eastAsia" w:hAnsi="宋体"/>
          <w:szCs w:val="21"/>
          <w:highlight w:val="none"/>
          <w:lang w:val="pt-BR"/>
        </w:rPr>
      </w:pPr>
      <w:r>
        <w:rPr>
          <w:rFonts w:hint="eastAsia" w:hAnsi="宋体"/>
          <w:szCs w:val="21"/>
          <w:highlight w:val="none"/>
          <w:lang w:val="pt-BR"/>
        </w:rPr>
        <w:t>[1</w:t>
      </w:r>
      <w:r>
        <w:rPr>
          <w:rFonts w:hint="eastAsia" w:hAnsi="宋体"/>
          <w:szCs w:val="21"/>
          <w:highlight w:val="none"/>
          <w:lang w:val="de-DE"/>
        </w:rPr>
        <w:t>2</w:t>
      </w:r>
      <w:r>
        <w:rPr>
          <w:rFonts w:hint="eastAsia" w:hAnsi="宋体"/>
          <w:szCs w:val="21"/>
          <w:highlight w:val="none"/>
          <w:lang w:val="pt-BR"/>
        </w:rPr>
        <w:t>.</w:t>
      </w:r>
      <w:r>
        <w:rPr>
          <w:rFonts w:hint="eastAsia" w:hAnsi="宋体"/>
          <w:szCs w:val="21"/>
          <w:highlight w:val="none"/>
          <w:lang w:val="de-DE"/>
        </w:rPr>
        <w:t>E</w:t>
      </w:r>
      <w:r>
        <w:rPr>
          <w:rFonts w:hint="eastAsia" w:hAnsi="宋体"/>
          <w:szCs w:val="21"/>
          <w:highlight w:val="none"/>
          <w:lang w:val="pt-BR"/>
        </w:rPr>
        <w:t>]=G4B-</w:t>
      </w:r>
      <w:r>
        <w:rPr>
          <w:rFonts w:hint="eastAsia" w:hAnsi="宋体"/>
          <w:szCs w:val="21"/>
          <w:highlight w:val="none"/>
          <w:lang w:val="de-DE"/>
        </w:rPr>
        <w:t>5</w:t>
      </w:r>
      <w:r>
        <w:rPr>
          <w:rFonts w:hint="eastAsia"/>
          <w:szCs w:val="21"/>
          <w:highlight w:val="none"/>
          <w:lang w:val="pt-BR"/>
        </w:rPr>
        <w:t>_</w:t>
      </w:r>
      <w:r>
        <w:rPr>
          <w:rFonts w:hint="eastAsia" w:hAnsi="宋体"/>
          <w:szCs w:val="21"/>
          <w:highlight w:val="none"/>
          <w:lang w:val="pt-BR"/>
        </w:rPr>
        <w:t>[2.</w:t>
      </w:r>
      <w:r>
        <w:rPr>
          <w:rFonts w:hint="eastAsia" w:hAnsi="宋体"/>
          <w:szCs w:val="21"/>
          <w:highlight w:val="none"/>
          <w:lang w:val="en-US" w:eastAsia="zh-CN"/>
        </w:rPr>
        <w:t>B</w:t>
      </w:r>
      <w:r>
        <w:rPr>
          <w:rFonts w:hint="eastAsia" w:hAnsi="宋体"/>
          <w:szCs w:val="21"/>
          <w:highlight w:val="none"/>
          <w:lang w:val="pt-BR"/>
        </w:rPr>
        <w:t>]</w:t>
      </w:r>
      <w:r>
        <w:rPr>
          <w:rFonts w:hint="eastAsia" w:hAnsi="宋体"/>
          <w:szCs w:val="21"/>
          <w:highlight w:val="none"/>
          <w:lang w:val="de-DE"/>
        </w:rPr>
        <w:t>+</w:t>
      </w:r>
      <w:r>
        <w:rPr>
          <w:rFonts w:hint="eastAsia" w:hAnsi="宋体"/>
          <w:szCs w:val="21"/>
          <w:highlight w:val="none"/>
          <w:lang w:val="pt-BR"/>
        </w:rPr>
        <w:t>[2.</w:t>
      </w:r>
      <w:r>
        <w:rPr>
          <w:rFonts w:hint="eastAsia" w:hAnsi="宋体"/>
          <w:szCs w:val="21"/>
          <w:highlight w:val="none"/>
          <w:lang w:val="en-US" w:eastAsia="zh-CN"/>
        </w:rPr>
        <w:t>D</w:t>
      </w:r>
      <w:r>
        <w:rPr>
          <w:rFonts w:hint="eastAsia" w:hAnsi="宋体"/>
          <w:szCs w:val="21"/>
          <w:highlight w:val="none"/>
          <w:lang w:val="pt-BR"/>
        </w:rPr>
        <w:t>]</w:t>
      </w:r>
      <w:r>
        <w:rPr>
          <w:rFonts w:hint="eastAsia" w:hAnsi="宋体"/>
          <w:szCs w:val="21"/>
          <w:highlight w:val="none"/>
          <w:lang w:val="de-DE"/>
        </w:rPr>
        <w:t>+</w:t>
      </w:r>
      <w:r>
        <w:rPr>
          <w:rFonts w:hint="eastAsia" w:hAnsi="宋体"/>
          <w:szCs w:val="21"/>
          <w:highlight w:val="none"/>
          <w:lang w:val="pt-BR"/>
        </w:rPr>
        <w:t>[2.</w:t>
      </w:r>
      <w:r>
        <w:rPr>
          <w:rFonts w:hint="eastAsia" w:hAnsi="宋体"/>
          <w:szCs w:val="21"/>
          <w:highlight w:val="none"/>
          <w:lang w:val="en-US" w:eastAsia="zh-CN"/>
        </w:rPr>
        <w:t>F</w:t>
      </w:r>
      <w:r>
        <w:rPr>
          <w:rFonts w:hint="eastAsia" w:hAnsi="宋体"/>
          <w:szCs w:val="21"/>
          <w:highlight w:val="none"/>
          <w:lang w:val="pt-BR"/>
        </w:rPr>
        <w:t>]+[2.H]</w:t>
      </w:r>
    </w:p>
    <w:p>
      <w:pPr>
        <w:spacing w:line="440" w:lineRule="exact"/>
        <w:ind w:firstLine="420" w:firstLineChars="200"/>
        <w:rPr>
          <w:rFonts w:hint="eastAsia" w:hAnsi="宋体"/>
          <w:szCs w:val="21"/>
          <w:highlight w:val="none"/>
          <w:lang w:val="pt-BR"/>
        </w:rPr>
      </w:pPr>
      <w:r>
        <w:rPr>
          <w:rFonts w:hint="eastAsia" w:hAnsi="宋体"/>
          <w:szCs w:val="21"/>
          <w:highlight w:val="none"/>
          <w:lang w:val="pt-BR"/>
        </w:rPr>
        <w:t>[1</w:t>
      </w:r>
      <w:r>
        <w:rPr>
          <w:rFonts w:hint="eastAsia" w:hAnsi="宋体"/>
          <w:szCs w:val="21"/>
          <w:highlight w:val="none"/>
          <w:lang w:val="de-DE"/>
        </w:rPr>
        <w:t>2</w:t>
      </w:r>
      <w:r>
        <w:rPr>
          <w:rFonts w:hint="eastAsia" w:hAnsi="宋体"/>
          <w:szCs w:val="21"/>
          <w:highlight w:val="none"/>
          <w:lang w:val="pt-BR"/>
        </w:rPr>
        <w:t>.G]=G4B-</w:t>
      </w:r>
      <w:r>
        <w:rPr>
          <w:rFonts w:hint="eastAsia" w:hAnsi="宋体"/>
          <w:szCs w:val="21"/>
          <w:highlight w:val="none"/>
          <w:lang w:val="de-DE"/>
        </w:rPr>
        <w:t>5</w:t>
      </w:r>
      <w:r>
        <w:rPr>
          <w:rFonts w:hint="eastAsia"/>
          <w:szCs w:val="21"/>
          <w:highlight w:val="none"/>
          <w:lang w:val="pt-BR"/>
        </w:rPr>
        <w:t>_</w:t>
      </w:r>
      <w:r>
        <w:rPr>
          <w:rFonts w:hint="eastAsia" w:hAnsi="宋体"/>
          <w:szCs w:val="21"/>
          <w:highlight w:val="none"/>
          <w:lang w:val="pt-BR"/>
        </w:rPr>
        <w:t>[2.</w:t>
      </w:r>
      <w:r>
        <w:rPr>
          <w:rFonts w:hint="eastAsia" w:hAnsi="宋体"/>
          <w:szCs w:val="21"/>
          <w:highlight w:val="none"/>
          <w:lang w:val="en-US" w:eastAsia="zh-CN"/>
        </w:rPr>
        <w:t>C</w:t>
      </w:r>
      <w:r>
        <w:rPr>
          <w:rFonts w:hint="eastAsia" w:hAnsi="宋体"/>
          <w:szCs w:val="21"/>
          <w:highlight w:val="none"/>
          <w:lang w:val="pt-BR"/>
        </w:rPr>
        <w:t>]</w:t>
      </w:r>
      <w:r>
        <w:rPr>
          <w:rFonts w:hint="eastAsia" w:hAnsi="宋体"/>
          <w:szCs w:val="21"/>
          <w:highlight w:val="none"/>
          <w:lang w:val="de-DE"/>
        </w:rPr>
        <w:t>+</w:t>
      </w:r>
      <w:r>
        <w:rPr>
          <w:rFonts w:hint="eastAsia" w:hAnsi="宋体"/>
          <w:szCs w:val="21"/>
          <w:highlight w:val="none"/>
          <w:lang w:val="pt-BR"/>
        </w:rPr>
        <w:t>[2.</w:t>
      </w:r>
      <w:r>
        <w:rPr>
          <w:rFonts w:hint="eastAsia" w:hAnsi="宋体"/>
          <w:szCs w:val="21"/>
          <w:highlight w:val="none"/>
          <w:lang w:val="en-US" w:eastAsia="zh-CN"/>
        </w:rPr>
        <w:t>E</w:t>
      </w:r>
      <w:r>
        <w:rPr>
          <w:rFonts w:hint="eastAsia" w:hAnsi="宋体"/>
          <w:szCs w:val="21"/>
          <w:highlight w:val="none"/>
          <w:lang w:val="pt-BR"/>
        </w:rPr>
        <w:t>]</w:t>
      </w:r>
      <w:r>
        <w:rPr>
          <w:rFonts w:hint="eastAsia" w:hAnsi="宋体"/>
          <w:szCs w:val="21"/>
          <w:highlight w:val="none"/>
          <w:lang w:val="de-DE"/>
        </w:rPr>
        <w:t>+</w:t>
      </w:r>
      <w:r>
        <w:rPr>
          <w:rFonts w:hint="eastAsia" w:hAnsi="宋体"/>
          <w:szCs w:val="21"/>
          <w:highlight w:val="none"/>
          <w:lang w:val="pt-BR"/>
        </w:rPr>
        <w:t>[2.</w:t>
      </w:r>
      <w:r>
        <w:rPr>
          <w:rFonts w:hint="eastAsia" w:hAnsi="宋体"/>
          <w:szCs w:val="21"/>
          <w:highlight w:val="none"/>
          <w:lang w:val="en-US" w:eastAsia="zh-CN"/>
        </w:rPr>
        <w:t>G</w:t>
      </w:r>
      <w:r>
        <w:rPr>
          <w:rFonts w:hint="eastAsia" w:hAnsi="宋体"/>
          <w:szCs w:val="21"/>
          <w:highlight w:val="none"/>
          <w:lang w:val="pt-BR"/>
        </w:rPr>
        <w:t>]+[2.I]+[2.M]-[2.L]</w:t>
      </w:r>
    </w:p>
    <w:p>
      <w:pPr>
        <w:spacing w:line="440" w:lineRule="exact"/>
        <w:ind w:firstLine="420" w:firstLineChars="200"/>
        <w:rPr>
          <w:rFonts w:hAnsi="宋体"/>
          <w:szCs w:val="21"/>
          <w:lang w:val="de-DE"/>
        </w:rPr>
      </w:pPr>
      <w:r>
        <w:rPr>
          <w:rFonts w:hint="eastAsia" w:hAnsi="宋体"/>
          <w:szCs w:val="21"/>
          <w:lang w:val="de-DE"/>
        </w:rPr>
        <w:t>[4.</w:t>
      </w:r>
      <w:r>
        <w:rPr>
          <w:rFonts w:hint="eastAsia" w:hAnsi="宋体"/>
          <w:szCs w:val="21"/>
        </w:rPr>
        <w:t>2</w:t>
      </w:r>
      <w:r>
        <w:rPr>
          <w:rFonts w:hint="eastAsia" w:hAnsi="宋体"/>
          <w:szCs w:val="21"/>
          <w:lang w:val="de-DE"/>
        </w:rPr>
        <w:t>C]=G44_[5.</w:t>
      </w:r>
      <w:r>
        <w:rPr>
          <w:rFonts w:hint="eastAsia" w:hAnsi="宋体"/>
          <w:szCs w:val="21"/>
        </w:rPr>
        <w:t>1</w:t>
      </w:r>
      <w:r>
        <w:rPr>
          <w:rFonts w:hint="eastAsia" w:hAnsi="宋体"/>
          <w:szCs w:val="21"/>
          <w:lang w:val="de-DE"/>
        </w:rPr>
        <w:t>A]</w:t>
      </w:r>
    </w:p>
    <w:p>
      <w:pPr>
        <w:spacing w:line="440" w:lineRule="exact"/>
        <w:ind w:firstLine="420" w:firstLineChars="200"/>
        <w:rPr>
          <w:rFonts w:hint="eastAsia" w:hAnsi="宋体"/>
          <w:szCs w:val="21"/>
          <w:highlight w:val="none"/>
          <w:lang w:val="de-DE"/>
        </w:rPr>
      </w:pPr>
      <w:r>
        <w:rPr>
          <w:rFonts w:hint="eastAsia" w:hAnsi="宋体"/>
          <w:szCs w:val="21"/>
          <w:highlight w:val="none"/>
          <w:lang w:val="de-DE"/>
        </w:rPr>
        <w:t>[</w:t>
      </w:r>
      <w:r>
        <w:rPr>
          <w:rFonts w:hint="eastAsia" w:hAnsi="宋体"/>
          <w:szCs w:val="21"/>
          <w:highlight w:val="none"/>
        </w:rPr>
        <w:t>3.</w:t>
      </w:r>
      <w:r>
        <w:rPr>
          <w:rFonts w:hAnsi="宋体"/>
          <w:szCs w:val="21"/>
          <w:highlight w:val="none"/>
        </w:rPr>
        <w:t>1.1</w:t>
      </w:r>
      <w:r>
        <w:rPr>
          <w:rFonts w:hint="eastAsia" w:hAnsi="宋体"/>
          <w:szCs w:val="21"/>
          <w:highlight w:val="none"/>
          <w:lang w:val="de-DE"/>
        </w:rPr>
        <w:t>C]+[</w:t>
      </w:r>
      <w:r>
        <w:rPr>
          <w:rFonts w:hint="eastAsia" w:hAnsi="宋体"/>
          <w:szCs w:val="21"/>
          <w:highlight w:val="none"/>
        </w:rPr>
        <w:t>3.2</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3.</w:t>
      </w:r>
      <w:r>
        <w:rPr>
          <w:rFonts w:hAnsi="宋体"/>
          <w:szCs w:val="21"/>
          <w:highlight w:val="none"/>
        </w:rPr>
        <w:t>3</w:t>
      </w:r>
      <w:r>
        <w:rPr>
          <w:rFonts w:hint="eastAsia" w:hAnsi="宋体"/>
          <w:szCs w:val="21"/>
          <w:highlight w:val="none"/>
          <w:lang w:val="de-DE"/>
        </w:rPr>
        <w:t>C]</w:t>
      </w:r>
      <w:r>
        <w:rPr>
          <w:rFonts w:hAnsi="宋体"/>
          <w:szCs w:val="21"/>
          <w:highlight w:val="none"/>
          <w:lang w:val="de-DE"/>
        </w:rPr>
        <w:t>+</w:t>
      </w:r>
      <w:r>
        <w:rPr>
          <w:rFonts w:hint="eastAsia" w:hAnsi="宋体"/>
          <w:szCs w:val="21"/>
          <w:highlight w:val="none"/>
          <w:lang w:val="de-DE"/>
        </w:rPr>
        <w:t>[</w:t>
      </w:r>
      <w:r>
        <w:rPr>
          <w:rFonts w:hint="eastAsia" w:hAnsi="宋体"/>
          <w:szCs w:val="21"/>
          <w:highlight w:val="none"/>
        </w:rPr>
        <w:t>4.4.1</w:t>
      </w:r>
      <w:r>
        <w:rPr>
          <w:rFonts w:hint="eastAsia" w:hAnsi="宋体"/>
          <w:szCs w:val="21"/>
          <w:highlight w:val="none"/>
          <w:lang w:val="de-DE"/>
        </w:rPr>
        <w:t>C]</w:t>
      </w:r>
      <w:r>
        <w:rPr>
          <w:rFonts w:hAnsi="宋体"/>
          <w:szCs w:val="21"/>
          <w:highlight w:val="none"/>
          <w:lang w:val="de-DE"/>
        </w:rPr>
        <w:t>+</w:t>
      </w:r>
      <w:r>
        <w:rPr>
          <w:rFonts w:hint="eastAsia" w:hAnsi="宋体"/>
          <w:szCs w:val="21"/>
          <w:highlight w:val="none"/>
          <w:lang w:val="de-DE"/>
        </w:rPr>
        <w:t>[</w:t>
      </w:r>
      <w:r>
        <w:rPr>
          <w:rFonts w:hint="eastAsia" w:hAnsi="宋体"/>
          <w:szCs w:val="21"/>
          <w:highlight w:val="none"/>
          <w:lang w:val="en-US" w:eastAsia="zh-CN"/>
        </w:rPr>
        <w:t>5</w:t>
      </w:r>
      <w:r>
        <w:rPr>
          <w:rFonts w:hint="eastAsia" w:hAnsi="宋体"/>
          <w:szCs w:val="21"/>
          <w:highlight w:val="none"/>
        </w:rPr>
        <w:t>.</w:t>
      </w:r>
      <w:r>
        <w:rPr>
          <w:rFonts w:hint="eastAsia" w:hAnsi="宋体"/>
          <w:szCs w:val="21"/>
          <w:highlight w:val="none"/>
          <w:lang w:val="en-US" w:eastAsia="zh-CN"/>
        </w:rPr>
        <w:t>2</w:t>
      </w:r>
      <w:r>
        <w:rPr>
          <w:rFonts w:hint="eastAsia" w:hAnsi="宋体"/>
          <w:szCs w:val="21"/>
          <w:highlight w:val="none"/>
        </w:rPr>
        <w:t>.1</w:t>
      </w:r>
      <w:r>
        <w:rPr>
          <w:rFonts w:hint="eastAsia" w:hAnsi="宋体"/>
          <w:szCs w:val="21"/>
          <w:highlight w:val="none"/>
          <w:lang w:val="de-DE"/>
        </w:rPr>
        <w:t>C]=G44_[5.</w:t>
      </w:r>
      <w:r>
        <w:rPr>
          <w:rFonts w:hint="eastAsia" w:hAnsi="宋体"/>
          <w:szCs w:val="21"/>
          <w:highlight w:val="none"/>
        </w:rPr>
        <w:t>2</w:t>
      </w:r>
      <w:r>
        <w:rPr>
          <w:rFonts w:hint="eastAsia" w:hAnsi="宋体"/>
          <w:szCs w:val="21"/>
          <w:highlight w:val="none"/>
          <w:lang w:val="de-DE"/>
        </w:rPr>
        <w:t>A]</w:t>
      </w:r>
    </w:p>
    <w:p>
      <w:pPr>
        <w:spacing w:line="440" w:lineRule="exact"/>
        <w:ind w:firstLine="420" w:firstLineChars="200"/>
        <w:rPr>
          <w:rFonts w:hAnsi="宋体"/>
          <w:szCs w:val="21"/>
          <w:lang w:val="de-DE"/>
        </w:rPr>
      </w:pPr>
      <w:r>
        <w:rPr>
          <w:rFonts w:hint="eastAsia" w:hAnsi="宋体"/>
          <w:szCs w:val="21"/>
          <w:lang w:val="de-DE"/>
        </w:rPr>
        <w:t>[</w:t>
      </w:r>
      <w:r>
        <w:rPr>
          <w:rFonts w:hint="eastAsia" w:hAnsi="宋体"/>
          <w:szCs w:val="21"/>
        </w:rPr>
        <w:t>4.3</w:t>
      </w:r>
      <w:r>
        <w:rPr>
          <w:rFonts w:hint="eastAsia" w:hAnsi="宋体"/>
          <w:szCs w:val="21"/>
          <w:lang w:val="de-DE"/>
        </w:rPr>
        <w:t>C]+[</w:t>
      </w:r>
      <w:r>
        <w:rPr>
          <w:rFonts w:hint="eastAsia" w:hAnsi="宋体"/>
          <w:szCs w:val="21"/>
        </w:rPr>
        <w:t>4.4.2</w:t>
      </w:r>
      <w:r>
        <w:rPr>
          <w:rFonts w:hint="eastAsia" w:hAnsi="宋体"/>
          <w:szCs w:val="21"/>
          <w:lang w:val="de-DE"/>
        </w:rPr>
        <w:t>C]</w:t>
      </w:r>
      <w:r>
        <w:rPr>
          <w:rFonts w:hint="eastAsia" w:hAnsi="宋体"/>
          <w:szCs w:val="21"/>
        </w:rPr>
        <w:t>+</w:t>
      </w:r>
      <w:r>
        <w:rPr>
          <w:rFonts w:hint="eastAsia" w:hAnsi="宋体"/>
          <w:szCs w:val="21"/>
          <w:lang w:val="de-DE"/>
        </w:rPr>
        <w:t>[</w:t>
      </w:r>
      <w:r>
        <w:rPr>
          <w:rFonts w:hint="eastAsia" w:hAnsi="宋体"/>
          <w:szCs w:val="21"/>
        </w:rPr>
        <w:t>4.7</w:t>
      </w:r>
      <w:r>
        <w:rPr>
          <w:rFonts w:hint="eastAsia" w:hAnsi="宋体"/>
          <w:szCs w:val="21"/>
          <w:lang w:val="de-DE"/>
        </w:rPr>
        <w:t>C]=G44_[5.</w:t>
      </w:r>
      <w:r>
        <w:rPr>
          <w:rFonts w:hint="eastAsia" w:hAnsi="宋体"/>
          <w:szCs w:val="21"/>
        </w:rPr>
        <w:t>3</w:t>
      </w:r>
      <w:r>
        <w:rPr>
          <w:rFonts w:hint="eastAsia" w:hAnsi="宋体"/>
          <w:szCs w:val="21"/>
          <w:lang w:val="de-DE"/>
        </w:rPr>
        <w:t>A]</w:t>
      </w:r>
    </w:p>
    <w:p>
      <w:pPr>
        <w:spacing w:line="440" w:lineRule="exact"/>
        <w:ind w:firstLine="420" w:firstLineChars="200"/>
        <w:rPr>
          <w:rFonts w:hAnsi="宋体"/>
          <w:szCs w:val="21"/>
          <w:lang w:val="de-DE"/>
        </w:rPr>
      </w:pPr>
      <w:r>
        <w:rPr>
          <w:rFonts w:hint="eastAsia" w:hAnsi="宋体"/>
          <w:szCs w:val="21"/>
          <w:lang w:val="de-DE"/>
        </w:rPr>
        <w:t>[</w:t>
      </w:r>
      <w:r>
        <w:rPr>
          <w:rFonts w:hint="eastAsia" w:hAnsi="宋体"/>
          <w:szCs w:val="21"/>
        </w:rPr>
        <w:t>2.1</w:t>
      </w:r>
      <w:r>
        <w:rPr>
          <w:rFonts w:hint="eastAsia" w:hAnsi="宋体"/>
          <w:szCs w:val="21"/>
          <w:lang w:val="de-DE"/>
        </w:rPr>
        <w:t>C]+[</w:t>
      </w:r>
      <w:r>
        <w:rPr>
          <w:rFonts w:hint="eastAsia" w:hAnsi="宋体"/>
          <w:szCs w:val="21"/>
        </w:rPr>
        <w:t>2.2</w:t>
      </w:r>
      <w:r>
        <w:rPr>
          <w:rFonts w:hint="eastAsia" w:hAnsi="宋体"/>
          <w:szCs w:val="21"/>
          <w:lang w:val="de-DE"/>
        </w:rPr>
        <w:t>C]</w:t>
      </w:r>
      <w:r>
        <w:rPr>
          <w:rFonts w:hint="eastAsia" w:hAnsi="宋体"/>
          <w:szCs w:val="21"/>
        </w:rPr>
        <w:t>+</w:t>
      </w:r>
      <w:r>
        <w:rPr>
          <w:rFonts w:hint="eastAsia" w:hAnsi="宋体"/>
          <w:szCs w:val="21"/>
          <w:lang w:val="de-DE"/>
        </w:rPr>
        <w:t>[</w:t>
      </w:r>
      <w:r>
        <w:rPr>
          <w:rFonts w:hAnsi="宋体"/>
          <w:szCs w:val="21"/>
        </w:rPr>
        <w:t>3.1</w:t>
      </w:r>
      <w:r>
        <w:rPr>
          <w:rFonts w:hint="eastAsia" w:hAnsi="宋体"/>
          <w:szCs w:val="21"/>
        </w:rPr>
        <w:t>.2</w:t>
      </w:r>
      <w:r>
        <w:rPr>
          <w:rFonts w:hint="eastAsia" w:hAnsi="宋体"/>
          <w:szCs w:val="21"/>
          <w:lang w:val="de-DE"/>
        </w:rPr>
        <w:t>C]</w:t>
      </w:r>
      <w:r>
        <w:rPr>
          <w:rFonts w:hAnsi="宋体"/>
          <w:szCs w:val="21"/>
          <w:lang w:val="de-DE"/>
        </w:rPr>
        <w:t>+</w:t>
      </w:r>
      <w:r>
        <w:rPr>
          <w:rFonts w:hint="eastAsia" w:hAnsi="宋体"/>
          <w:szCs w:val="21"/>
          <w:lang w:val="de-DE"/>
        </w:rPr>
        <w:t>[</w:t>
      </w:r>
      <w:r>
        <w:rPr>
          <w:rFonts w:hint="eastAsia" w:hAnsi="宋体"/>
          <w:szCs w:val="21"/>
        </w:rPr>
        <w:t>4.5</w:t>
      </w:r>
      <w:r>
        <w:rPr>
          <w:rFonts w:hint="eastAsia" w:hAnsi="宋体"/>
          <w:szCs w:val="21"/>
          <w:lang w:val="de-DE"/>
        </w:rPr>
        <w:t>C]</w:t>
      </w:r>
      <w:r>
        <w:rPr>
          <w:rFonts w:hint="eastAsia" w:hAnsi="宋体"/>
          <w:szCs w:val="21"/>
        </w:rPr>
        <w:t>+</w:t>
      </w:r>
      <w:r>
        <w:rPr>
          <w:rFonts w:hint="eastAsia" w:hAnsi="宋体"/>
          <w:szCs w:val="21"/>
          <w:lang w:val="de-DE"/>
        </w:rPr>
        <w:t>[</w:t>
      </w:r>
      <w:r>
        <w:rPr>
          <w:rFonts w:hint="eastAsia" w:hAnsi="宋体"/>
          <w:szCs w:val="21"/>
        </w:rPr>
        <w:t>4.6</w:t>
      </w:r>
      <w:r>
        <w:rPr>
          <w:rFonts w:hint="eastAsia" w:hAnsi="宋体"/>
          <w:szCs w:val="21"/>
          <w:lang w:val="de-DE"/>
        </w:rPr>
        <w:t>C]=G44_[5.</w:t>
      </w:r>
      <w:r>
        <w:rPr>
          <w:rFonts w:hint="eastAsia" w:hAnsi="宋体"/>
          <w:szCs w:val="21"/>
        </w:rPr>
        <w:t>4</w:t>
      </w:r>
      <w:r>
        <w:rPr>
          <w:rFonts w:hint="eastAsia" w:hAnsi="宋体"/>
          <w:szCs w:val="21"/>
          <w:lang w:val="de-DE"/>
        </w:rPr>
        <w:t>A]</w:t>
      </w:r>
    </w:p>
    <w:p>
      <w:pPr>
        <w:spacing w:line="440" w:lineRule="exact"/>
        <w:ind w:firstLine="420" w:firstLineChars="200"/>
        <w:rPr>
          <w:rFonts w:ascii="宋体" w:hAnsi="宋体"/>
          <w:szCs w:val="21"/>
          <w:lang w:val="de-DE"/>
        </w:rPr>
      </w:pPr>
      <w:r>
        <w:rPr>
          <w:rFonts w:hint="eastAsia" w:hAnsi="宋体"/>
          <w:szCs w:val="21"/>
          <w:highlight w:val="none"/>
          <w:lang w:val="de-DE"/>
        </w:rPr>
        <w:t>[</w:t>
      </w:r>
      <w:r>
        <w:rPr>
          <w:rFonts w:hint="eastAsia" w:hAnsi="宋体"/>
          <w:szCs w:val="21"/>
          <w:highlight w:val="none"/>
        </w:rPr>
        <w:t>1.1</w:t>
      </w:r>
      <w:r>
        <w:rPr>
          <w:rFonts w:hint="eastAsia" w:hAnsi="宋体"/>
          <w:szCs w:val="21"/>
          <w:highlight w:val="none"/>
          <w:lang w:val="de-DE"/>
        </w:rPr>
        <w:t>C]+[</w:t>
      </w:r>
      <w:r>
        <w:rPr>
          <w:rFonts w:hint="eastAsia" w:hAnsi="宋体"/>
          <w:szCs w:val="21"/>
          <w:highlight w:val="none"/>
        </w:rPr>
        <w:t>1.2</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1.3</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5.1</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5.2</w:t>
      </w:r>
      <w:r>
        <w:rPr>
          <w:rFonts w:hint="eastAsia" w:hAnsi="宋体"/>
          <w:szCs w:val="21"/>
          <w:highlight w:val="none"/>
          <w:lang w:val="en-US" w:eastAsia="zh-CN"/>
        </w:rPr>
        <w:t>.2</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6</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7</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8</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9</w:t>
      </w:r>
      <w:r>
        <w:rPr>
          <w:rFonts w:hint="eastAsia" w:hAnsi="宋体"/>
          <w:szCs w:val="21"/>
          <w:highlight w:val="none"/>
          <w:lang w:val="de-DE"/>
        </w:rPr>
        <w:t>C]</w:t>
      </w:r>
      <w:r>
        <w:rPr>
          <w:rFonts w:hint="eastAsia" w:hAnsi="宋体"/>
          <w:szCs w:val="21"/>
          <w:highlight w:val="none"/>
        </w:rPr>
        <w:t>+</w:t>
      </w:r>
      <w:r>
        <w:rPr>
          <w:rFonts w:hint="eastAsia" w:hAnsi="宋体"/>
          <w:szCs w:val="21"/>
          <w:highlight w:val="none"/>
          <w:lang w:val="de-DE"/>
        </w:rPr>
        <w:t>[</w:t>
      </w:r>
      <w:r>
        <w:rPr>
          <w:rFonts w:hint="eastAsia" w:hAnsi="宋体"/>
          <w:szCs w:val="21"/>
          <w:highlight w:val="none"/>
        </w:rPr>
        <w:t>10</w:t>
      </w:r>
      <w:r>
        <w:rPr>
          <w:rFonts w:hint="eastAsia" w:hAnsi="宋体"/>
          <w:szCs w:val="21"/>
          <w:highlight w:val="none"/>
          <w:lang w:val="de-DE"/>
        </w:rPr>
        <w:t>C]</w:t>
      </w:r>
      <w:r>
        <w:rPr>
          <w:rFonts w:hint="eastAsia" w:hAnsi="宋体"/>
          <w:szCs w:val="21"/>
          <w:highlight w:val="none"/>
          <w:lang w:val="en-US" w:eastAsia="zh-CN"/>
        </w:rPr>
        <w:t>+</w:t>
      </w:r>
      <w:r>
        <w:rPr>
          <w:rFonts w:hint="eastAsia" w:hAnsi="宋体"/>
          <w:szCs w:val="21"/>
          <w:highlight w:val="none"/>
          <w:lang w:val="de-DE"/>
        </w:rPr>
        <w:t>[</w:t>
      </w:r>
      <w:r>
        <w:rPr>
          <w:rFonts w:hint="eastAsia" w:hAnsi="宋体"/>
          <w:szCs w:val="21"/>
          <w:highlight w:val="none"/>
        </w:rPr>
        <w:t>1</w:t>
      </w:r>
      <w:r>
        <w:rPr>
          <w:rFonts w:hint="eastAsia" w:hAnsi="宋体"/>
          <w:szCs w:val="21"/>
          <w:highlight w:val="none"/>
          <w:lang w:val="en-US" w:eastAsia="zh-CN"/>
        </w:rPr>
        <w:t>2</w:t>
      </w:r>
      <w:r>
        <w:rPr>
          <w:rFonts w:hint="eastAsia" w:hAnsi="宋体"/>
          <w:szCs w:val="21"/>
          <w:highlight w:val="none"/>
          <w:lang w:val="de-DE"/>
        </w:rPr>
        <w:t>C]</w:t>
      </w:r>
      <w:r>
        <w:rPr>
          <w:rFonts w:hint="eastAsia" w:hAnsi="宋体"/>
          <w:szCs w:val="21"/>
          <w:highlight w:val="none"/>
          <w:lang w:val="en-US" w:eastAsia="zh-CN"/>
        </w:rPr>
        <w:t>-</w:t>
      </w:r>
      <w:r>
        <w:rPr>
          <w:rFonts w:hint="eastAsia" w:hAnsi="宋体"/>
          <w:szCs w:val="21"/>
          <w:highlight w:val="none"/>
          <w:lang w:val="de-DE"/>
        </w:rPr>
        <w:t>=G44_[5.</w:t>
      </w:r>
      <w:r>
        <w:rPr>
          <w:rFonts w:hint="eastAsia" w:hAnsi="宋体"/>
          <w:szCs w:val="21"/>
          <w:highlight w:val="none"/>
        </w:rPr>
        <w:t>5</w:t>
      </w:r>
      <w:r>
        <w:rPr>
          <w:rFonts w:hint="eastAsia" w:hAnsi="宋体"/>
          <w:szCs w:val="21"/>
          <w:highlight w:val="none"/>
          <w:lang w:val="de-DE"/>
        </w:rPr>
        <w:t>A]</w:t>
      </w:r>
    </w:p>
    <w:p>
      <w:pPr>
        <w:spacing w:line="440" w:lineRule="exact"/>
        <w:ind w:firstLine="420" w:firstLineChars="200"/>
        <w:rPr>
          <w:szCs w:val="21"/>
          <w:lang w:val="de-DE"/>
        </w:rPr>
      </w:pPr>
      <w:r>
        <w:rPr>
          <w:rFonts w:hAnsi="宋体"/>
          <w:szCs w:val="21"/>
        </w:rPr>
        <w:t>表中阴影部分不填报数据。</w:t>
      </w:r>
    </w:p>
    <w:p>
      <w:pPr>
        <w:spacing w:line="440" w:lineRule="exact"/>
        <w:rPr>
          <w:b/>
          <w:bCs/>
          <w:szCs w:val="21"/>
          <w:lang w:val="de-DE"/>
        </w:rPr>
      </w:pPr>
      <w:r>
        <w:rPr>
          <w:rFonts w:hAnsi="宋体"/>
          <w:b/>
          <w:bCs/>
          <w:szCs w:val="21"/>
        </w:rPr>
        <w:t>第五部分</w:t>
      </w:r>
      <w:r>
        <w:rPr>
          <w:rFonts w:hAnsi="宋体"/>
          <w:b/>
          <w:bCs/>
          <w:szCs w:val="21"/>
          <w:lang w:val="de-DE"/>
        </w:rPr>
        <w:t>：</w:t>
      </w:r>
      <w:r>
        <w:rPr>
          <w:rFonts w:hAnsi="宋体"/>
          <w:b/>
          <w:bCs/>
          <w:szCs w:val="21"/>
        </w:rPr>
        <w:t>填报方法</w:t>
      </w:r>
    </w:p>
    <w:p>
      <w:pPr>
        <w:spacing w:line="440" w:lineRule="exact"/>
        <w:ind w:firstLine="420" w:firstLineChars="200"/>
        <w:rPr>
          <w:szCs w:val="21"/>
        </w:rPr>
      </w:pPr>
      <w:r>
        <w:rPr>
          <w:rFonts w:hAnsi="宋体"/>
          <w:szCs w:val="21"/>
        </w:rPr>
        <w:t>本表填报方法：①根据表外业务的业务品种，以及该表外项目交易主体或担保主体对应的风险权重，将其会计账面余额和对应的减值准备金额分别填在</w:t>
      </w:r>
      <w:r>
        <w:rPr>
          <w:szCs w:val="21"/>
        </w:rPr>
        <w:t>[A]</w:t>
      </w:r>
      <w:r>
        <w:rPr>
          <w:rFonts w:hAnsi="宋体"/>
          <w:szCs w:val="21"/>
        </w:rPr>
        <w:t>列和</w:t>
      </w:r>
      <w:r>
        <w:rPr>
          <w:szCs w:val="21"/>
        </w:rPr>
        <w:t>[D]</w:t>
      </w:r>
      <w:r>
        <w:rPr>
          <w:rFonts w:hAnsi="宋体"/>
          <w:szCs w:val="21"/>
        </w:rPr>
        <w:t>列对应项目中；②按照对表内风险资产的分类方式，将转换前风险资产以不同风险权重分类，拆分填列到对应的风险权重行中。③根据公式</w:t>
      </w:r>
      <w:r>
        <w:rPr>
          <w:szCs w:val="21"/>
        </w:rPr>
        <w:t>[G]=</w:t>
      </w:r>
      <w:r>
        <w:rPr>
          <w:rFonts w:hAnsi="宋体"/>
          <w:szCs w:val="21"/>
        </w:rPr>
        <w:t>（</w:t>
      </w:r>
      <w:r>
        <w:rPr>
          <w:szCs w:val="21"/>
        </w:rPr>
        <w:t>[A]×[B</w:t>
      </w:r>
      <w:r>
        <w:rPr>
          <w:rFonts w:ascii="宋体" w:hAnsi="宋体"/>
          <w:szCs w:val="21"/>
        </w:rPr>
        <w:t>]</w:t>
      </w:r>
      <w:r>
        <w:rPr>
          <w:rFonts w:hint="eastAsia" w:ascii="宋体" w:hAnsi="宋体"/>
          <w:szCs w:val="21"/>
        </w:rPr>
        <w:t>－</w:t>
      </w:r>
      <w:r>
        <w:rPr>
          <w:szCs w:val="21"/>
        </w:rPr>
        <w:t>[D]</w:t>
      </w:r>
      <w:r>
        <w:rPr>
          <w:rFonts w:hAnsi="宋体"/>
          <w:szCs w:val="21"/>
        </w:rPr>
        <w:t>）</w:t>
      </w:r>
      <w:r>
        <w:rPr>
          <w:szCs w:val="21"/>
        </w:rPr>
        <w:t>×[F]</w:t>
      </w:r>
      <w:r>
        <w:rPr>
          <w:rFonts w:hAnsi="宋体"/>
          <w:szCs w:val="21"/>
        </w:rPr>
        <w:t>，计算得到该表外项目的风险加权资产；</w:t>
      </w:r>
    </w:p>
    <w:p>
      <w:pPr>
        <w:spacing w:line="440" w:lineRule="exact"/>
        <w:ind w:firstLine="420" w:firstLineChars="200"/>
        <w:rPr>
          <w:szCs w:val="21"/>
        </w:rPr>
      </w:pPr>
      <w:r>
        <w:rPr>
          <w:rFonts w:hAnsi="宋体"/>
          <w:szCs w:val="21"/>
        </w:rPr>
        <w:t>本表中黑底色单元格不需要填数据。</w:t>
      </w:r>
    </w:p>
    <w:p>
      <w:pPr>
        <w:spacing w:line="440" w:lineRule="exact"/>
        <w:ind w:firstLine="420" w:firstLineChars="200"/>
        <w:rPr>
          <w:szCs w:val="21"/>
        </w:rPr>
      </w:pPr>
      <w:r>
        <w:rPr>
          <w:rFonts w:hAnsi="宋体"/>
          <w:szCs w:val="21"/>
        </w:rPr>
        <w:t>以下示例说明本表填报方法（本例数据单位为万元）。</w:t>
      </w:r>
    </w:p>
    <w:p>
      <w:pPr>
        <w:spacing w:line="440" w:lineRule="exact"/>
        <w:ind w:firstLine="420" w:firstLineChars="200"/>
        <w:rPr>
          <w:szCs w:val="21"/>
        </w:rPr>
      </w:pPr>
      <w:r>
        <w:rPr>
          <w:rFonts w:hAnsi="宋体"/>
          <w:szCs w:val="21"/>
        </w:rPr>
        <w:t>例：某国内商业银行（以下简称银行）向一家大型进出口贸易企业（以下简称企业），开出金额为</w:t>
      </w:r>
      <w:r>
        <w:rPr>
          <w:szCs w:val="21"/>
        </w:rPr>
        <w:t>1000</w:t>
      </w:r>
      <w:r>
        <w:rPr>
          <w:rFonts w:hAnsi="宋体"/>
          <w:szCs w:val="21"/>
        </w:rPr>
        <w:t>万元的人民币银行承兑汇票。该行对这笔银行承兑汇票计提</w:t>
      </w:r>
      <w:r>
        <w:rPr>
          <w:szCs w:val="21"/>
        </w:rPr>
        <w:t>10</w:t>
      </w:r>
      <w:r>
        <w:rPr>
          <w:rFonts w:hAnsi="宋体"/>
          <w:szCs w:val="21"/>
        </w:rPr>
        <w:t>万元减值准备金。该企业向银行缴纳保证金</w:t>
      </w:r>
      <w:r>
        <w:rPr>
          <w:szCs w:val="21"/>
        </w:rPr>
        <w:t>200</w:t>
      </w:r>
      <w:r>
        <w:rPr>
          <w:rFonts w:hAnsi="宋体"/>
          <w:szCs w:val="21"/>
        </w:rPr>
        <w:t>万元，以该银行面额为</w:t>
      </w:r>
      <w:r>
        <w:rPr>
          <w:szCs w:val="21"/>
        </w:rPr>
        <w:t>300</w:t>
      </w:r>
      <w:r>
        <w:rPr>
          <w:rFonts w:hAnsi="宋体"/>
          <w:szCs w:val="21"/>
        </w:rPr>
        <w:t>万元的存单、我国商业银行发行的面额价值为</w:t>
      </w:r>
      <w:r>
        <w:rPr>
          <w:szCs w:val="21"/>
        </w:rPr>
        <w:t>100</w:t>
      </w:r>
      <w:r>
        <w:rPr>
          <w:rFonts w:hAnsi="宋体"/>
          <w:szCs w:val="21"/>
        </w:rPr>
        <w:t>万元，剩余期限</w:t>
      </w:r>
      <w:r>
        <w:rPr>
          <w:szCs w:val="21"/>
        </w:rPr>
        <w:t>6</w:t>
      </w:r>
      <w:r>
        <w:rPr>
          <w:rFonts w:hAnsi="宋体"/>
          <w:szCs w:val="21"/>
        </w:rPr>
        <w:t>个月的债券，我国政府债券</w:t>
      </w:r>
      <w:r>
        <w:rPr>
          <w:szCs w:val="21"/>
        </w:rPr>
        <w:t>100</w:t>
      </w:r>
      <w:r>
        <w:rPr>
          <w:rFonts w:hAnsi="宋体"/>
          <w:szCs w:val="21"/>
        </w:rPr>
        <w:t>万元，我国铁道部发行的面值</w:t>
      </w:r>
      <w:r>
        <w:rPr>
          <w:szCs w:val="21"/>
        </w:rPr>
        <w:t>100</w:t>
      </w:r>
      <w:r>
        <w:rPr>
          <w:rFonts w:hAnsi="宋体"/>
          <w:szCs w:val="21"/>
        </w:rPr>
        <w:t>万元的债券，并以另一一般企业做担保。那么该笔银行承兑汇票的风险加权资产的填报计算方法如下：</w:t>
      </w:r>
    </w:p>
    <w:p>
      <w:pPr>
        <w:spacing w:line="440" w:lineRule="exact"/>
        <w:ind w:firstLine="421" w:firstLineChars="200"/>
        <w:rPr>
          <w:b/>
          <w:szCs w:val="21"/>
        </w:rPr>
      </w:pPr>
      <w:r>
        <w:rPr>
          <w:rFonts w:hAnsi="宋体"/>
          <w:b/>
          <w:szCs w:val="21"/>
        </w:rPr>
        <w:t>第一步：确定该表外业务在</w:t>
      </w:r>
      <w:r>
        <w:rPr>
          <w:b/>
          <w:szCs w:val="21"/>
        </w:rPr>
        <w:t>“</w:t>
      </w:r>
      <w:r>
        <w:rPr>
          <w:rFonts w:hAnsi="宋体"/>
          <w:b/>
          <w:szCs w:val="21"/>
        </w:rPr>
        <w:t>项目</w:t>
      </w:r>
      <w:r>
        <w:rPr>
          <w:b/>
          <w:szCs w:val="21"/>
        </w:rPr>
        <w:t>”</w:t>
      </w:r>
      <w:r>
        <w:rPr>
          <w:rFonts w:hAnsi="宋体"/>
          <w:b/>
          <w:szCs w:val="21"/>
        </w:rPr>
        <w:t>列的位置</w:t>
      </w:r>
    </w:p>
    <w:p>
      <w:pPr>
        <w:spacing w:line="440" w:lineRule="exact"/>
        <w:ind w:firstLine="420" w:firstLineChars="200"/>
        <w:rPr>
          <w:szCs w:val="21"/>
        </w:rPr>
      </w:pPr>
      <w:r>
        <w:rPr>
          <w:rFonts w:hAnsi="宋体"/>
          <w:szCs w:val="21"/>
        </w:rPr>
        <w:t>本项业务是商业银行对企业开出银行承兑汇票，对应在</w:t>
      </w:r>
      <w:r>
        <w:rPr>
          <w:szCs w:val="21"/>
        </w:rPr>
        <w:t>“1.</w:t>
      </w:r>
      <w:r>
        <w:rPr>
          <w:rFonts w:hAnsi="宋体"/>
          <w:szCs w:val="21"/>
        </w:rPr>
        <w:t>等同于贷款的授信业务</w:t>
      </w:r>
      <w:r>
        <w:rPr>
          <w:szCs w:val="21"/>
        </w:rPr>
        <w:t>”</w:t>
      </w:r>
      <w:r>
        <w:rPr>
          <w:rFonts w:hAnsi="宋体"/>
          <w:szCs w:val="21"/>
        </w:rPr>
        <w:t>下的</w:t>
      </w:r>
      <w:r>
        <w:rPr>
          <w:szCs w:val="21"/>
        </w:rPr>
        <w:t>“1.1</w:t>
      </w:r>
      <w:r>
        <w:rPr>
          <w:rFonts w:hAnsi="宋体"/>
          <w:szCs w:val="21"/>
        </w:rPr>
        <w:t>银行承兑汇票</w:t>
      </w:r>
      <w:r>
        <w:rPr>
          <w:szCs w:val="21"/>
        </w:rPr>
        <w:t>”</w:t>
      </w:r>
      <w:r>
        <w:rPr>
          <w:rFonts w:hAnsi="宋体"/>
          <w:szCs w:val="21"/>
        </w:rPr>
        <w:t>。同时还计提了</w:t>
      </w:r>
      <w:r>
        <w:rPr>
          <w:szCs w:val="21"/>
        </w:rPr>
        <w:t>10</w:t>
      </w:r>
      <w:r>
        <w:rPr>
          <w:rFonts w:hAnsi="宋体"/>
          <w:szCs w:val="21"/>
        </w:rPr>
        <w:t>万元的减值准备，如下：</w:t>
      </w:r>
    </w:p>
    <w:tbl>
      <w:tblPr>
        <w:tblStyle w:val="7"/>
        <w:tblW w:w="79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3"/>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w:t>
            </w:r>
            <w:r>
              <w:rPr>
                <w:rFonts w:hint="eastAsia" w:hAnsi="宋体"/>
                <w:kern w:val="0"/>
                <w:sz w:val="20"/>
                <w:szCs w:val="20"/>
              </w:rPr>
              <w:t>资产</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int="eastAsia" w:hAnsi="宋体"/>
                <w:kern w:val="0"/>
                <w:sz w:val="20"/>
                <w:szCs w:val="20"/>
              </w:rPr>
              <w:t>转换后</w:t>
            </w:r>
            <w:r>
              <w:rPr>
                <w:rFonts w:hAnsi="宋体"/>
                <w:kern w:val="0"/>
                <w:sz w:val="20"/>
                <w:szCs w:val="20"/>
              </w:rPr>
              <w:t>风险暴露</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rPr>
                <w:kern w:val="0"/>
                <w:sz w:val="20"/>
                <w:szCs w:val="20"/>
              </w:rPr>
            </w:pPr>
            <w:r>
              <w:rPr>
                <w:kern w:val="0"/>
                <w:sz w:val="20"/>
                <w:szCs w:val="20"/>
              </w:rPr>
              <w:t>1.</w:t>
            </w:r>
            <w:r>
              <w:rPr>
                <w:rFonts w:hAnsi="宋体"/>
                <w:kern w:val="0"/>
                <w:sz w:val="20"/>
                <w:szCs w:val="20"/>
              </w:rPr>
              <w:t>等同于贷款的授信业务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200" w:firstLineChars="100"/>
              <w:rPr>
                <w:kern w:val="0"/>
                <w:sz w:val="20"/>
                <w:szCs w:val="20"/>
              </w:rPr>
            </w:pPr>
            <w:r>
              <w:rPr>
                <w:kern w:val="0"/>
                <w:sz w:val="20"/>
                <w:szCs w:val="20"/>
              </w:rPr>
              <w:t>1.1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tcBorders>
              <w:bottom w:val="single" w:color="auto" w:sz="4" w:space="0"/>
            </w:tcBorders>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1.1.1</w:t>
            </w:r>
            <w:r>
              <w:rPr>
                <w:rFonts w:hAnsi="宋体"/>
                <w:kern w:val="0"/>
                <w:sz w:val="20"/>
                <w:szCs w:val="20"/>
              </w:rPr>
              <w:t>风险权重为</w:t>
            </w:r>
            <w:r>
              <w:rPr>
                <w:kern w:val="0"/>
                <w:sz w:val="20"/>
                <w:szCs w:val="20"/>
              </w:rPr>
              <w:t>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1.1.2</w:t>
            </w:r>
            <w:r>
              <w:rPr>
                <w:rFonts w:hAnsi="宋体"/>
                <w:kern w:val="0"/>
                <w:sz w:val="20"/>
                <w:szCs w:val="20"/>
              </w:rPr>
              <w:t>风险权重为</w:t>
            </w:r>
            <w:r>
              <w:rPr>
                <w:kern w:val="0"/>
                <w:sz w:val="20"/>
                <w:szCs w:val="20"/>
              </w:rPr>
              <w:t>20%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20%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1.1.3</w:t>
            </w:r>
            <w:r>
              <w:rPr>
                <w:rFonts w:hAnsi="宋体"/>
                <w:kern w:val="0"/>
                <w:sz w:val="20"/>
                <w:szCs w:val="20"/>
              </w:rPr>
              <w:t>风险权重为</w:t>
            </w:r>
            <w:r>
              <w:rPr>
                <w:rFonts w:hint="eastAsia"/>
                <w:kern w:val="0"/>
                <w:sz w:val="20"/>
                <w:szCs w:val="20"/>
              </w:rPr>
              <w:t>40</w:t>
            </w:r>
            <w:r>
              <w:rPr>
                <w:kern w:val="0"/>
                <w:sz w:val="20"/>
                <w:szCs w:val="20"/>
              </w:rPr>
              <w:t>%</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sz w:val="20"/>
                <w:szCs w:val="20"/>
              </w:rPr>
              <w:t>40</w:t>
            </w:r>
            <w:r>
              <w:rPr>
                <w:sz w:val="20"/>
                <w:szCs w:val="20"/>
              </w:rPr>
              <w:t>%</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1.1.4</w:t>
            </w:r>
            <w:r>
              <w:rPr>
                <w:rFonts w:hAnsi="宋体"/>
                <w:kern w:val="0"/>
                <w:sz w:val="20"/>
                <w:szCs w:val="20"/>
              </w:rPr>
              <w:t>风险权重为</w:t>
            </w:r>
            <w:r>
              <w:rPr>
                <w:kern w:val="0"/>
                <w:sz w:val="20"/>
                <w:szCs w:val="20"/>
              </w:rPr>
              <w:t>50%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50%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1.1.5</w:t>
            </w:r>
            <w:r>
              <w:rPr>
                <w:rFonts w:hAnsi="宋体"/>
                <w:kern w:val="0"/>
                <w:sz w:val="20"/>
                <w:szCs w:val="20"/>
              </w:rPr>
              <w:t>风险权重为</w:t>
            </w:r>
            <w:r>
              <w:rPr>
                <w:kern w:val="0"/>
                <w:sz w:val="20"/>
                <w:szCs w:val="20"/>
              </w:rPr>
              <w:t>75%</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75%</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1.1.6</w:t>
            </w:r>
            <w:r>
              <w:rPr>
                <w:rFonts w:hAnsi="宋体"/>
                <w:kern w:val="0"/>
                <w:sz w:val="20"/>
                <w:szCs w:val="20"/>
              </w:rPr>
              <w:t>风险权重为</w:t>
            </w:r>
            <w:r>
              <w:rPr>
                <w:kern w:val="0"/>
                <w:sz w:val="20"/>
                <w:szCs w:val="20"/>
              </w:rPr>
              <w:t>100%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r>
              <w:rPr>
                <w:rFonts w:hint="eastAsia"/>
                <w:kern w:val="0"/>
                <w:sz w:val="20"/>
                <w:szCs w:val="20"/>
              </w:rPr>
              <w:t>10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100%</w:t>
            </w:r>
          </w:p>
        </w:tc>
        <w:tc>
          <w:tcPr>
            <w:tcW w:w="758" w:type="dxa"/>
            <w:shd w:val="clear" w:color="auto" w:fill="C0C0C0"/>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623" w:type="dxa"/>
            <w:shd w:val="clear" w:color="auto" w:fill="auto"/>
            <w:vAlign w:val="center"/>
          </w:tcPr>
          <w:p>
            <w:pPr>
              <w:widowControl/>
              <w:ind w:firstLine="400" w:firstLineChars="200"/>
              <w:rPr>
                <w:kern w:val="0"/>
                <w:sz w:val="20"/>
                <w:szCs w:val="20"/>
              </w:rPr>
            </w:pPr>
            <w:r>
              <w:rPr>
                <w:kern w:val="0"/>
                <w:sz w:val="20"/>
                <w:szCs w:val="20"/>
              </w:rPr>
              <w:t>1.1.7</w:t>
            </w:r>
            <w:r>
              <w:rPr>
                <w:rFonts w:hAnsi="宋体"/>
                <w:kern w:val="0"/>
                <w:sz w:val="20"/>
                <w:szCs w:val="20"/>
              </w:rPr>
              <w:t>风险权重为</w:t>
            </w:r>
            <w:r>
              <w:rPr>
                <w:kern w:val="0"/>
                <w:sz w:val="20"/>
                <w:szCs w:val="20"/>
              </w:rPr>
              <w:t>150%</w:t>
            </w: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kern w:val="0"/>
                <w:sz w:val="20"/>
                <w:szCs w:val="20"/>
              </w:rPr>
              <w:t>100%</w:t>
            </w:r>
          </w:p>
        </w:tc>
        <w:tc>
          <w:tcPr>
            <w:tcW w:w="757" w:type="dxa"/>
            <w:shd w:val="clear" w:color="auto" w:fill="auto"/>
            <w:vAlign w:val="center"/>
          </w:tcPr>
          <w:p>
            <w:pPr>
              <w:widowControl/>
              <w:jc w:val="center"/>
              <w:rPr>
                <w:kern w:val="0"/>
                <w:sz w:val="20"/>
                <w:szCs w:val="20"/>
              </w:rPr>
            </w:pPr>
          </w:p>
        </w:tc>
        <w:tc>
          <w:tcPr>
            <w:tcW w:w="758"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sz w:val="20"/>
                <w:szCs w:val="20"/>
              </w:rPr>
              <w:t>150%</w:t>
            </w:r>
          </w:p>
        </w:tc>
        <w:tc>
          <w:tcPr>
            <w:tcW w:w="758" w:type="dxa"/>
            <w:shd w:val="clear" w:color="auto" w:fill="C0C0C0"/>
            <w:vAlign w:val="center"/>
          </w:tcPr>
          <w:p>
            <w:pPr>
              <w:widowControl/>
              <w:jc w:val="center"/>
              <w:rPr>
                <w:kern w:val="0"/>
                <w:sz w:val="20"/>
                <w:szCs w:val="20"/>
              </w:rPr>
            </w:pPr>
          </w:p>
        </w:tc>
      </w:tr>
    </w:tbl>
    <w:p>
      <w:pPr>
        <w:spacing w:line="440" w:lineRule="exact"/>
        <w:ind w:firstLine="421" w:firstLineChars="200"/>
        <w:rPr>
          <w:b/>
          <w:szCs w:val="21"/>
        </w:rPr>
      </w:pPr>
      <w:r>
        <w:rPr>
          <w:rFonts w:hAnsi="宋体"/>
          <w:b/>
          <w:szCs w:val="21"/>
        </w:rPr>
        <w:t>第二步：确定该笔业务对应风险权重的各项金额</w:t>
      </w:r>
    </w:p>
    <w:p>
      <w:pPr>
        <w:spacing w:line="440" w:lineRule="exact"/>
        <w:ind w:firstLine="420" w:firstLineChars="200"/>
        <w:rPr>
          <w:szCs w:val="21"/>
        </w:rPr>
      </w:pPr>
      <w:r>
        <w:rPr>
          <w:rFonts w:hint="eastAsia" w:hAnsi="宋体"/>
          <w:szCs w:val="21"/>
          <w:lang w:val="en-US" w:eastAsia="zh-CN"/>
        </w:rPr>
        <w:t>按照附件2，根据</w:t>
      </w:r>
      <w:r>
        <w:rPr>
          <w:rFonts w:hAnsi="宋体"/>
          <w:szCs w:val="21"/>
        </w:rPr>
        <w:t>该表外项目交易主体</w:t>
      </w:r>
      <w:r>
        <w:rPr>
          <w:rFonts w:hint="eastAsia" w:hAnsi="宋体"/>
          <w:szCs w:val="21"/>
          <w:lang w:eastAsia="zh-CN"/>
        </w:rPr>
        <w:t>、</w:t>
      </w:r>
      <w:r>
        <w:rPr>
          <w:rFonts w:hint="eastAsia" w:hAnsi="宋体"/>
          <w:szCs w:val="21"/>
          <w:lang w:val="en-US" w:eastAsia="zh-CN"/>
        </w:rPr>
        <w:t>业务类型</w:t>
      </w:r>
      <w:r>
        <w:rPr>
          <w:rFonts w:hAnsi="宋体"/>
          <w:szCs w:val="21"/>
        </w:rPr>
        <w:t>或担保主体</w:t>
      </w:r>
      <w:r>
        <w:rPr>
          <w:rFonts w:hint="eastAsia" w:hAnsi="宋体"/>
          <w:szCs w:val="21"/>
          <w:lang w:val="en-US" w:eastAsia="zh-CN"/>
        </w:rPr>
        <w:t>确定</w:t>
      </w:r>
      <w:r>
        <w:rPr>
          <w:rFonts w:hAnsi="宋体"/>
          <w:szCs w:val="21"/>
        </w:rPr>
        <w:t>风险权重</w:t>
      </w:r>
      <w:r>
        <w:rPr>
          <w:rFonts w:hint="eastAsia" w:hAnsi="宋体"/>
          <w:szCs w:val="21"/>
          <w:lang w:eastAsia="zh-CN"/>
        </w:rPr>
        <w:t>，</w:t>
      </w:r>
      <w:r>
        <w:rPr>
          <w:rFonts w:hint="eastAsia" w:hAnsi="宋体"/>
          <w:szCs w:val="21"/>
          <w:lang w:val="en-US" w:eastAsia="zh-CN"/>
        </w:rPr>
        <w:t>以及</w:t>
      </w:r>
      <w:r>
        <w:rPr>
          <w:rFonts w:hAnsi="宋体"/>
          <w:szCs w:val="21"/>
        </w:rPr>
        <w:t>相应风险权重所对应的账面金额。对该表外业务</w:t>
      </w:r>
      <w:r>
        <w:rPr>
          <w:rFonts w:hint="eastAsia"/>
          <w:szCs w:val="21"/>
        </w:rPr>
        <w:t>99</w:t>
      </w:r>
      <w:r>
        <w:rPr>
          <w:szCs w:val="21"/>
        </w:rPr>
        <w:t>0</w:t>
      </w:r>
      <w:r>
        <w:rPr>
          <w:rFonts w:hAnsi="宋体"/>
          <w:szCs w:val="21"/>
        </w:rPr>
        <w:t>万元分析如下：</w:t>
      </w:r>
    </w:p>
    <w:p>
      <w:pPr>
        <w:spacing w:line="440" w:lineRule="exact"/>
        <w:ind w:firstLine="420" w:firstLineChars="200"/>
        <w:rPr>
          <w:szCs w:val="21"/>
        </w:rPr>
      </w:pPr>
      <w:r>
        <w:rPr>
          <w:rFonts w:hAnsi="宋体"/>
          <w:szCs w:val="21"/>
        </w:rPr>
        <w:t>保证金</w:t>
      </w:r>
      <w:r>
        <w:rPr>
          <w:szCs w:val="21"/>
        </w:rPr>
        <w:t>200</w:t>
      </w:r>
      <w:r>
        <w:rPr>
          <w:rFonts w:hAnsi="宋体"/>
          <w:szCs w:val="21"/>
        </w:rPr>
        <w:t>万元：风险权重为</w:t>
      </w:r>
      <w:r>
        <w:rPr>
          <w:szCs w:val="21"/>
        </w:rPr>
        <w:t>0%</w:t>
      </w:r>
      <w:r>
        <w:rPr>
          <w:rFonts w:hAnsi="宋体"/>
          <w:szCs w:val="21"/>
        </w:rPr>
        <w:t>，对应的风险敞口为</w:t>
      </w:r>
      <w:r>
        <w:rPr>
          <w:szCs w:val="21"/>
        </w:rPr>
        <w:t>200</w:t>
      </w:r>
      <w:r>
        <w:rPr>
          <w:rFonts w:hAnsi="宋体"/>
          <w:szCs w:val="21"/>
        </w:rPr>
        <w:t>万元；</w:t>
      </w:r>
    </w:p>
    <w:p>
      <w:pPr>
        <w:spacing w:line="440" w:lineRule="exact"/>
        <w:ind w:firstLine="420" w:firstLineChars="200"/>
        <w:rPr>
          <w:szCs w:val="21"/>
        </w:rPr>
      </w:pPr>
      <w:r>
        <w:rPr>
          <w:rFonts w:hAnsi="宋体"/>
          <w:szCs w:val="21"/>
        </w:rPr>
        <w:t>该银行面额为</w:t>
      </w:r>
      <w:r>
        <w:rPr>
          <w:szCs w:val="21"/>
        </w:rPr>
        <w:t>300</w:t>
      </w:r>
      <w:r>
        <w:rPr>
          <w:rFonts w:hAnsi="宋体"/>
          <w:szCs w:val="21"/>
        </w:rPr>
        <w:t>万元的存单：风险权重为</w:t>
      </w:r>
      <w:r>
        <w:rPr>
          <w:szCs w:val="21"/>
        </w:rPr>
        <w:t>0%</w:t>
      </w:r>
      <w:r>
        <w:rPr>
          <w:rFonts w:hAnsi="宋体"/>
          <w:szCs w:val="21"/>
        </w:rPr>
        <w:t>，对应的风险敞口为</w:t>
      </w:r>
      <w:r>
        <w:rPr>
          <w:szCs w:val="21"/>
        </w:rPr>
        <w:t>300</w:t>
      </w:r>
      <w:r>
        <w:rPr>
          <w:rFonts w:hAnsi="宋体"/>
          <w:szCs w:val="21"/>
        </w:rPr>
        <w:t>万元；</w:t>
      </w:r>
    </w:p>
    <w:p>
      <w:pPr>
        <w:spacing w:line="440" w:lineRule="exact"/>
        <w:ind w:firstLine="420" w:firstLineChars="200"/>
        <w:rPr>
          <w:szCs w:val="21"/>
        </w:rPr>
      </w:pPr>
      <w:r>
        <w:rPr>
          <w:rFonts w:hAnsi="宋体"/>
          <w:szCs w:val="21"/>
        </w:rPr>
        <w:t>我国政府债券</w:t>
      </w:r>
      <w:r>
        <w:rPr>
          <w:szCs w:val="21"/>
        </w:rPr>
        <w:t>100</w:t>
      </w:r>
      <w:r>
        <w:rPr>
          <w:rFonts w:hAnsi="宋体"/>
          <w:szCs w:val="21"/>
        </w:rPr>
        <w:t>万元：风险权重为</w:t>
      </w:r>
      <w:r>
        <w:rPr>
          <w:rFonts w:hint="eastAsia" w:hAnsi="宋体"/>
          <w:szCs w:val="21"/>
        </w:rPr>
        <w:t>2</w:t>
      </w:r>
      <w:r>
        <w:rPr>
          <w:szCs w:val="21"/>
        </w:rPr>
        <w:t>0%</w:t>
      </w:r>
      <w:r>
        <w:rPr>
          <w:rFonts w:hint="eastAsia"/>
          <w:szCs w:val="21"/>
        </w:rPr>
        <w:t>（考虑底线影响）</w:t>
      </w:r>
      <w:r>
        <w:rPr>
          <w:rFonts w:hAnsi="宋体"/>
          <w:szCs w:val="21"/>
        </w:rPr>
        <w:t>，对应的风险敞口为</w:t>
      </w:r>
      <w:r>
        <w:rPr>
          <w:szCs w:val="21"/>
        </w:rPr>
        <w:t>100</w:t>
      </w:r>
      <w:r>
        <w:rPr>
          <w:rFonts w:hAnsi="宋体"/>
          <w:szCs w:val="21"/>
        </w:rPr>
        <w:t>万元；</w:t>
      </w:r>
    </w:p>
    <w:p>
      <w:pPr>
        <w:spacing w:line="440" w:lineRule="exact"/>
        <w:ind w:firstLine="420" w:firstLineChars="200"/>
        <w:rPr>
          <w:szCs w:val="21"/>
        </w:rPr>
      </w:pPr>
      <w:r>
        <w:rPr>
          <w:rFonts w:hAnsi="宋体"/>
          <w:szCs w:val="21"/>
        </w:rPr>
        <w:t>我国铁道部发行面值</w:t>
      </w:r>
      <w:r>
        <w:rPr>
          <w:szCs w:val="21"/>
        </w:rPr>
        <w:t>100</w:t>
      </w:r>
      <w:r>
        <w:rPr>
          <w:rFonts w:hAnsi="宋体"/>
          <w:szCs w:val="21"/>
        </w:rPr>
        <w:t>万元的债券：风险权重为</w:t>
      </w:r>
      <w:r>
        <w:rPr>
          <w:szCs w:val="21"/>
        </w:rPr>
        <w:t>20%</w:t>
      </w:r>
      <w:r>
        <w:rPr>
          <w:rFonts w:hAnsi="宋体"/>
          <w:szCs w:val="21"/>
        </w:rPr>
        <w:t>，对应风险敞口为</w:t>
      </w:r>
      <w:r>
        <w:rPr>
          <w:szCs w:val="21"/>
        </w:rPr>
        <w:t>100</w:t>
      </w:r>
      <w:r>
        <w:rPr>
          <w:rFonts w:hAnsi="宋体"/>
          <w:szCs w:val="21"/>
        </w:rPr>
        <w:t>万元；</w:t>
      </w:r>
    </w:p>
    <w:p>
      <w:pPr>
        <w:spacing w:line="440" w:lineRule="exact"/>
        <w:ind w:firstLine="420" w:firstLineChars="200"/>
        <w:rPr>
          <w:szCs w:val="21"/>
        </w:rPr>
      </w:pPr>
      <w:r>
        <w:rPr>
          <w:rFonts w:hint="eastAsia" w:hAnsi="宋体"/>
          <w:szCs w:val="21"/>
        </w:rPr>
        <w:t>我</w:t>
      </w:r>
      <w:r>
        <w:rPr>
          <w:rFonts w:hAnsi="宋体"/>
          <w:szCs w:val="21"/>
        </w:rPr>
        <w:t>国商业银行面值为</w:t>
      </w:r>
      <w:r>
        <w:rPr>
          <w:szCs w:val="21"/>
        </w:rPr>
        <w:t>100</w:t>
      </w:r>
      <w:r>
        <w:rPr>
          <w:rFonts w:hAnsi="宋体"/>
          <w:szCs w:val="21"/>
        </w:rPr>
        <w:t>万元的债券：风险权重为</w:t>
      </w:r>
      <w:r>
        <w:rPr>
          <w:rFonts w:hint="eastAsia"/>
          <w:szCs w:val="21"/>
        </w:rPr>
        <w:t>40</w:t>
      </w:r>
      <w:r>
        <w:rPr>
          <w:szCs w:val="21"/>
        </w:rPr>
        <w:t>%</w:t>
      </w:r>
      <w:r>
        <w:rPr>
          <w:rFonts w:hAnsi="宋体"/>
          <w:szCs w:val="21"/>
        </w:rPr>
        <w:t>，对应的风险敞口为</w:t>
      </w:r>
      <w:r>
        <w:rPr>
          <w:szCs w:val="21"/>
        </w:rPr>
        <w:t>100</w:t>
      </w:r>
      <w:r>
        <w:rPr>
          <w:rFonts w:hAnsi="宋体"/>
          <w:szCs w:val="21"/>
        </w:rPr>
        <w:t>万元；</w:t>
      </w:r>
    </w:p>
    <w:p>
      <w:pPr>
        <w:pStyle w:val="6"/>
        <w:ind w:firstLine="420"/>
        <w:rPr>
          <w:rFonts w:eastAsia="宋体"/>
          <w:color w:val="auto"/>
          <w:sz w:val="21"/>
          <w:szCs w:val="21"/>
        </w:rPr>
      </w:pPr>
      <w:r>
        <w:rPr>
          <w:rFonts w:hAnsi="宋体" w:eastAsia="宋体"/>
          <w:color w:val="auto"/>
          <w:sz w:val="21"/>
          <w:szCs w:val="21"/>
        </w:rPr>
        <w:t>一般企业担保：风险权重为</w:t>
      </w:r>
      <w:r>
        <w:rPr>
          <w:rFonts w:eastAsia="宋体"/>
          <w:color w:val="auto"/>
          <w:sz w:val="21"/>
          <w:szCs w:val="21"/>
        </w:rPr>
        <w:t>100%</w:t>
      </w:r>
      <w:r>
        <w:rPr>
          <w:rFonts w:hint="eastAsia" w:eastAsia="宋体"/>
          <w:color w:val="auto"/>
          <w:sz w:val="21"/>
          <w:szCs w:val="21"/>
        </w:rPr>
        <w:t>，对应的风险敞口是：990-200-300-100-100-100=190万元</w:t>
      </w:r>
      <w:r>
        <w:rPr>
          <w:rFonts w:hAnsi="宋体" w:eastAsia="宋体"/>
          <w:color w:val="auto"/>
          <w:sz w:val="21"/>
          <w:szCs w:val="21"/>
        </w:rPr>
        <w:t>。</w:t>
      </w:r>
    </w:p>
    <w:p>
      <w:pPr>
        <w:pStyle w:val="6"/>
        <w:ind w:firstLine="420"/>
        <w:rPr>
          <w:rFonts w:eastAsia="宋体"/>
          <w:color w:val="auto"/>
          <w:sz w:val="21"/>
          <w:szCs w:val="21"/>
        </w:rPr>
      </w:pPr>
      <w:r>
        <w:rPr>
          <w:rFonts w:hAnsi="宋体" w:eastAsia="宋体"/>
          <w:color w:val="auto"/>
          <w:sz w:val="21"/>
          <w:szCs w:val="21"/>
        </w:rPr>
        <w:t>从以上计算可知：①权重为</w:t>
      </w:r>
      <w:r>
        <w:rPr>
          <w:rFonts w:eastAsia="宋体"/>
          <w:color w:val="auto"/>
          <w:sz w:val="21"/>
          <w:szCs w:val="21"/>
        </w:rPr>
        <w:t>0%</w:t>
      </w:r>
      <w:r>
        <w:rPr>
          <w:rFonts w:hAnsi="宋体" w:eastAsia="宋体"/>
          <w:color w:val="auto"/>
          <w:sz w:val="21"/>
          <w:szCs w:val="21"/>
        </w:rPr>
        <w:t>的风险敞口为</w:t>
      </w:r>
      <w:r>
        <w:rPr>
          <w:rFonts w:hint="eastAsia" w:eastAsia="宋体"/>
          <w:color w:val="auto"/>
          <w:sz w:val="21"/>
          <w:szCs w:val="21"/>
        </w:rPr>
        <w:t>5</w:t>
      </w:r>
      <w:r>
        <w:rPr>
          <w:rFonts w:eastAsia="宋体"/>
          <w:color w:val="auto"/>
          <w:sz w:val="21"/>
          <w:szCs w:val="21"/>
        </w:rPr>
        <w:t>00</w:t>
      </w:r>
      <w:r>
        <w:rPr>
          <w:rFonts w:hAnsi="宋体" w:eastAsia="宋体"/>
          <w:color w:val="auto"/>
          <w:sz w:val="21"/>
          <w:szCs w:val="21"/>
        </w:rPr>
        <w:t>万元；②权重为</w:t>
      </w:r>
      <w:r>
        <w:rPr>
          <w:rFonts w:eastAsia="宋体"/>
          <w:color w:val="auto"/>
          <w:sz w:val="21"/>
          <w:szCs w:val="21"/>
        </w:rPr>
        <w:t>20%</w:t>
      </w:r>
      <w:r>
        <w:rPr>
          <w:rFonts w:hAnsi="宋体" w:eastAsia="宋体"/>
          <w:color w:val="auto"/>
          <w:sz w:val="21"/>
          <w:szCs w:val="21"/>
        </w:rPr>
        <w:t>的风险敞口为</w:t>
      </w:r>
      <w:r>
        <w:rPr>
          <w:rFonts w:hint="eastAsia" w:eastAsia="宋体"/>
          <w:color w:val="auto"/>
          <w:sz w:val="21"/>
          <w:szCs w:val="21"/>
        </w:rPr>
        <w:t>2</w:t>
      </w:r>
      <w:r>
        <w:rPr>
          <w:rFonts w:eastAsia="宋体"/>
          <w:color w:val="auto"/>
          <w:sz w:val="21"/>
          <w:szCs w:val="21"/>
        </w:rPr>
        <w:t>00</w:t>
      </w:r>
      <w:r>
        <w:rPr>
          <w:rFonts w:hAnsi="宋体" w:eastAsia="宋体"/>
          <w:color w:val="auto"/>
          <w:sz w:val="21"/>
          <w:szCs w:val="21"/>
        </w:rPr>
        <w:t>万元；③权重为</w:t>
      </w:r>
      <w:r>
        <w:rPr>
          <w:rFonts w:hint="eastAsia" w:eastAsia="宋体"/>
          <w:color w:val="auto"/>
          <w:sz w:val="21"/>
          <w:szCs w:val="21"/>
        </w:rPr>
        <w:t>40</w:t>
      </w:r>
      <w:r>
        <w:rPr>
          <w:rFonts w:eastAsia="宋体"/>
          <w:color w:val="auto"/>
          <w:sz w:val="21"/>
          <w:szCs w:val="21"/>
        </w:rPr>
        <w:t>%</w:t>
      </w:r>
      <w:r>
        <w:rPr>
          <w:rFonts w:hAnsi="宋体" w:eastAsia="宋体"/>
          <w:color w:val="auto"/>
          <w:sz w:val="21"/>
          <w:szCs w:val="21"/>
        </w:rPr>
        <w:t>的风险敞口为</w:t>
      </w:r>
      <w:r>
        <w:rPr>
          <w:rFonts w:eastAsia="宋体"/>
          <w:color w:val="auto"/>
          <w:sz w:val="21"/>
          <w:szCs w:val="21"/>
        </w:rPr>
        <w:t>100</w:t>
      </w:r>
      <w:r>
        <w:rPr>
          <w:rFonts w:hAnsi="宋体" w:eastAsia="宋体"/>
          <w:color w:val="auto"/>
          <w:sz w:val="21"/>
          <w:szCs w:val="21"/>
        </w:rPr>
        <w:t>万元；④权重为</w:t>
      </w:r>
      <w:r>
        <w:rPr>
          <w:rFonts w:eastAsia="宋体"/>
          <w:color w:val="auto"/>
          <w:sz w:val="21"/>
          <w:szCs w:val="21"/>
        </w:rPr>
        <w:t>100%</w:t>
      </w:r>
      <w:r>
        <w:rPr>
          <w:rFonts w:hAnsi="宋体" w:eastAsia="宋体"/>
          <w:color w:val="auto"/>
          <w:sz w:val="21"/>
          <w:szCs w:val="21"/>
        </w:rPr>
        <w:t>的风险敞口为</w:t>
      </w:r>
      <w:r>
        <w:rPr>
          <w:rFonts w:hint="eastAsia" w:eastAsia="宋体"/>
          <w:color w:val="auto"/>
          <w:sz w:val="21"/>
          <w:szCs w:val="21"/>
        </w:rPr>
        <w:t>19</w:t>
      </w:r>
      <w:r>
        <w:rPr>
          <w:rFonts w:eastAsia="宋体"/>
          <w:color w:val="auto"/>
          <w:sz w:val="21"/>
          <w:szCs w:val="21"/>
        </w:rPr>
        <w:t>0</w:t>
      </w:r>
      <w:r>
        <w:rPr>
          <w:rFonts w:hAnsi="宋体" w:eastAsia="宋体"/>
          <w:color w:val="auto"/>
          <w:sz w:val="21"/>
          <w:szCs w:val="21"/>
        </w:rPr>
        <w:t>万元。将这些数据填入表中，如下表：</w:t>
      </w:r>
    </w:p>
    <w:tbl>
      <w:tblPr>
        <w:tblStyle w:val="7"/>
        <w:tblW w:w="8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6"/>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w:t>
            </w:r>
            <w:r>
              <w:rPr>
                <w:rFonts w:hint="eastAsia" w:hAnsi="宋体"/>
                <w:kern w:val="0"/>
                <w:sz w:val="20"/>
                <w:szCs w:val="20"/>
              </w:rPr>
              <w:t>资产</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int="eastAsia" w:hAnsi="宋体"/>
                <w:kern w:val="0"/>
                <w:sz w:val="20"/>
                <w:szCs w:val="20"/>
              </w:rPr>
              <w:t>转换后</w:t>
            </w:r>
            <w:r>
              <w:rPr>
                <w:rFonts w:hAnsi="宋体"/>
                <w:kern w:val="0"/>
                <w:sz w:val="20"/>
                <w:szCs w:val="20"/>
              </w:rPr>
              <w:t>风险暴露</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rPr>
                <w:kern w:val="0"/>
                <w:sz w:val="20"/>
                <w:szCs w:val="20"/>
              </w:rPr>
            </w:pPr>
            <w:r>
              <w:rPr>
                <w:kern w:val="0"/>
                <w:sz w:val="20"/>
                <w:szCs w:val="20"/>
              </w:rPr>
              <w:t>1.</w:t>
            </w:r>
            <w:r>
              <w:rPr>
                <w:rFonts w:hAnsi="宋体"/>
                <w:kern w:val="0"/>
                <w:sz w:val="20"/>
                <w:szCs w:val="20"/>
              </w:rPr>
              <w:t>等同于贷款的授信业务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ind w:firstLine="200" w:firstLineChars="100"/>
              <w:rPr>
                <w:kern w:val="0"/>
                <w:sz w:val="20"/>
                <w:szCs w:val="20"/>
              </w:rPr>
            </w:pPr>
            <w:r>
              <w:rPr>
                <w:kern w:val="0"/>
                <w:sz w:val="20"/>
                <w:szCs w:val="20"/>
              </w:rPr>
              <w:t>1.1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sz w:val="20"/>
                <w:szCs w:val="20"/>
              </w:rPr>
              <w:t>2</w:t>
            </w:r>
            <w:r>
              <w:rPr>
                <w:rFonts w:hint="eastAsia"/>
                <w:sz w:val="20"/>
                <w:szCs w:val="20"/>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1.1.1</w:t>
            </w:r>
            <w:r>
              <w:rPr>
                <w:rFonts w:hAnsi="宋体"/>
                <w:kern w:val="0"/>
                <w:sz w:val="20"/>
                <w:szCs w:val="20"/>
              </w:rPr>
              <w:t>风险权重为</w:t>
            </w:r>
            <w:r>
              <w:rPr>
                <w:kern w:val="0"/>
                <w:sz w:val="20"/>
                <w:szCs w:val="20"/>
              </w:rPr>
              <w:t>0%</w:t>
            </w:r>
          </w:p>
        </w:tc>
        <w:tc>
          <w:tcPr>
            <w:tcW w:w="757" w:type="dxa"/>
            <w:vAlign w:val="center"/>
          </w:tcPr>
          <w:p>
            <w:pPr>
              <w:widowControl/>
              <w:jc w:val="center"/>
              <w:rPr>
                <w:kern w:val="0"/>
                <w:sz w:val="20"/>
                <w:szCs w:val="20"/>
              </w:rPr>
            </w:pPr>
            <w:r>
              <w:rPr>
                <w:rFonts w:hint="eastAsia"/>
                <w:kern w:val="0"/>
                <w:sz w:val="20"/>
                <w:szCs w:val="20"/>
              </w:rPr>
              <w:t>5</w:t>
            </w:r>
            <w:r>
              <w:rPr>
                <w:kern w:val="0"/>
                <w:sz w:val="20"/>
                <w:szCs w:val="20"/>
              </w:rPr>
              <w:t>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rFonts w:hint="eastAsia"/>
                <w:kern w:val="0"/>
                <w:sz w:val="20"/>
                <w:szCs w:val="20"/>
              </w:rPr>
              <w:t>5</w:t>
            </w:r>
            <w:r>
              <w:rPr>
                <w:kern w:val="0"/>
                <w:sz w:val="20"/>
                <w:szCs w:val="20"/>
              </w:rPr>
              <w:t>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5</w:t>
            </w:r>
            <w:r>
              <w:rPr>
                <w:sz w:val="20"/>
                <w:szCs w:val="20"/>
              </w:rPr>
              <w:t>00</w:t>
            </w:r>
          </w:p>
        </w:tc>
        <w:tc>
          <w:tcPr>
            <w:tcW w:w="757" w:type="dxa"/>
            <w:vAlign w:val="center"/>
          </w:tcPr>
          <w:p>
            <w:pPr>
              <w:widowControl/>
              <w:jc w:val="center"/>
              <w:rPr>
                <w:kern w:val="0"/>
                <w:sz w:val="20"/>
                <w:szCs w:val="20"/>
              </w:rPr>
            </w:pPr>
            <w:r>
              <w:rPr>
                <w:sz w:val="20"/>
                <w:szCs w:val="20"/>
              </w:rPr>
              <w:t>0%</w:t>
            </w:r>
          </w:p>
        </w:tc>
        <w:tc>
          <w:tcPr>
            <w:tcW w:w="758" w:type="dxa"/>
            <w:vAlign w:val="center"/>
          </w:tcPr>
          <w:p>
            <w:pPr>
              <w:widowControl/>
              <w:jc w:val="center"/>
              <w:rPr>
                <w:kern w:val="0"/>
                <w:sz w:val="20"/>
                <w:szCs w:val="20"/>
              </w:rPr>
            </w:pP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1.1.2</w:t>
            </w:r>
            <w:r>
              <w:rPr>
                <w:rFonts w:hAnsi="宋体"/>
                <w:kern w:val="0"/>
                <w:sz w:val="20"/>
                <w:szCs w:val="20"/>
              </w:rPr>
              <w:t>风险权重为</w:t>
            </w:r>
            <w:r>
              <w:rPr>
                <w:kern w:val="0"/>
                <w:sz w:val="20"/>
                <w:szCs w:val="20"/>
              </w:rPr>
              <w:t>20%</w:t>
            </w:r>
          </w:p>
        </w:tc>
        <w:tc>
          <w:tcPr>
            <w:tcW w:w="757" w:type="dxa"/>
            <w:vAlign w:val="center"/>
          </w:tcPr>
          <w:p>
            <w:pPr>
              <w:widowControl/>
              <w:jc w:val="center"/>
              <w:rPr>
                <w:kern w:val="0"/>
                <w:sz w:val="20"/>
                <w:szCs w:val="20"/>
              </w:rPr>
            </w:pPr>
            <w:r>
              <w:rPr>
                <w:rFonts w:hint="eastAsia"/>
                <w:kern w:val="0"/>
                <w:sz w:val="20"/>
                <w:szCs w:val="20"/>
              </w:rPr>
              <w:t>2</w:t>
            </w:r>
            <w:r>
              <w:rPr>
                <w:kern w:val="0"/>
                <w:sz w:val="20"/>
                <w:szCs w:val="20"/>
              </w:rPr>
              <w:t>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rFonts w:hint="eastAsia"/>
                <w:kern w:val="0"/>
                <w:sz w:val="20"/>
                <w:szCs w:val="20"/>
              </w:rPr>
              <w:t>2</w:t>
            </w:r>
            <w:r>
              <w:rPr>
                <w:kern w:val="0"/>
                <w:sz w:val="20"/>
                <w:szCs w:val="20"/>
              </w:rPr>
              <w:t>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2</w:t>
            </w:r>
            <w:r>
              <w:rPr>
                <w:sz w:val="20"/>
                <w:szCs w:val="20"/>
              </w:rPr>
              <w:t>00</w:t>
            </w:r>
          </w:p>
        </w:tc>
        <w:tc>
          <w:tcPr>
            <w:tcW w:w="757" w:type="dxa"/>
            <w:vAlign w:val="center"/>
          </w:tcPr>
          <w:p>
            <w:pPr>
              <w:widowControl/>
              <w:jc w:val="center"/>
              <w:rPr>
                <w:kern w:val="0"/>
                <w:sz w:val="20"/>
                <w:szCs w:val="20"/>
              </w:rPr>
            </w:pPr>
            <w:r>
              <w:rPr>
                <w:sz w:val="20"/>
                <w:szCs w:val="20"/>
              </w:rPr>
              <w:t>20%</w:t>
            </w:r>
          </w:p>
        </w:tc>
        <w:tc>
          <w:tcPr>
            <w:tcW w:w="758" w:type="dxa"/>
            <w:vAlign w:val="center"/>
          </w:tcPr>
          <w:p>
            <w:pPr>
              <w:widowControl/>
              <w:jc w:val="center"/>
              <w:rPr>
                <w:kern w:val="0"/>
                <w:sz w:val="20"/>
                <w:szCs w:val="20"/>
              </w:rPr>
            </w:pPr>
            <w:r>
              <w:rPr>
                <w:rFonts w:hint="eastAsia"/>
                <w:sz w:val="20"/>
                <w:szCs w:val="20"/>
              </w:rPr>
              <w:t>4</w:t>
            </w: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1.1.3</w:t>
            </w:r>
            <w:r>
              <w:rPr>
                <w:rFonts w:hAnsi="宋体"/>
                <w:kern w:val="0"/>
                <w:sz w:val="20"/>
                <w:szCs w:val="20"/>
              </w:rPr>
              <w:t>风险权重为</w:t>
            </w:r>
            <w:r>
              <w:rPr>
                <w:rFonts w:hint="eastAsia"/>
                <w:kern w:val="0"/>
                <w:sz w:val="20"/>
                <w:szCs w:val="20"/>
              </w:rPr>
              <w:t>40</w:t>
            </w:r>
            <w:r>
              <w:rPr>
                <w:kern w:val="0"/>
                <w:sz w:val="20"/>
                <w:szCs w:val="20"/>
              </w:rPr>
              <w:t>%</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rFonts w:hint="eastAsia"/>
                <w:sz w:val="20"/>
                <w:szCs w:val="20"/>
              </w:rPr>
              <w:t>40</w:t>
            </w:r>
            <w:r>
              <w:rPr>
                <w:sz w:val="20"/>
                <w:szCs w:val="20"/>
              </w:rPr>
              <w:t>%</w:t>
            </w:r>
          </w:p>
        </w:tc>
        <w:tc>
          <w:tcPr>
            <w:tcW w:w="758" w:type="dxa"/>
            <w:vAlign w:val="center"/>
          </w:tcPr>
          <w:p>
            <w:pPr>
              <w:widowControl/>
              <w:jc w:val="center"/>
              <w:rPr>
                <w:kern w:val="0"/>
                <w:sz w:val="20"/>
                <w:szCs w:val="20"/>
              </w:rPr>
            </w:pP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1.1.4</w:t>
            </w:r>
            <w:r>
              <w:rPr>
                <w:rFonts w:hAnsi="宋体"/>
                <w:kern w:val="0"/>
                <w:sz w:val="20"/>
                <w:szCs w:val="20"/>
              </w:rPr>
              <w:t>风险权重为</w:t>
            </w:r>
            <w:r>
              <w:rPr>
                <w:kern w:val="0"/>
                <w:sz w:val="20"/>
                <w:szCs w:val="20"/>
              </w:rPr>
              <w:t>50%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50%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1.1.5</w:t>
            </w:r>
            <w:r>
              <w:rPr>
                <w:rFonts w:hAnsi="宋体"/>
                <w:kern w:val="0"/>
                <w:sz w:val="20"/>
                <w:szCs w:val="20"/>
              </w:rPr>
              <w:t>风险权重为</w:t>
            </w:r>
            <w:r>
              <w:rPr>
                <w:kern w:val="0"/>
                <w:sz w:val="20"/>
                <w:szCs w:val="20"/>
              </w:rPr>
              <w:t>75%</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75%</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1.1.6</w:t>
            </w:r>
            <w:r>
              <w:rPr>
                <w:rFonts w:hAnsi="宋体"/>
                <w:kern w:val="0"/>
                <w:sz w:val="20"/>
                <w:szCs w:val="20"/>
              </w:rPr>
              <w:t>风险权重为</w:t>
            </w: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8" w:type="dxa"/>
            <w:vAlign w:val="center"/>
          </w:tcPr>
          <w:p>
            <w:pPr>
              <w:widowControl/>
              <w:jc w:val="center"/>
              <w:rPr>
                <w:kern w:val="0"/>
                <w:sz w:val="20"/>
                <w:szCs w:val="20"/>
              </w:rPr>
            </w:pPr>
            <w:r>
              <w:rPr>
                <w:kern w:val="0"/>
                <w:sz w:val="20"/>
                <w:szCs w:val="20"/>
              </w:rPr>
              <w:t>10</w:t>
            </w:r>
          </w:p>
        </w:tc>
        <w:tc>
          <w:tcPr>
            <w:tcW w:w="757" w:type="dxa"/>
            <w:vAlign w:val="center"/>
          </w:tcPr>
          <w:p>
            <w:pPr>
              <w:widowControl/>
              <w:jc w:val="center"/>
              <w:rPr>
                <w:kern w:val="0"/>
                <w:sz w:val="20"/>
                <w:szCs w:val="20"/>
              </w:rPr>
            </w:pPr>
            <w:r>
              <w:rPr>
                <w:sz w:val="20"/>
                <w:szCs w:val="20"/>
              </w:rPr>
              <w:t>190</w:t>
            </w:r>
          </w:p>
        </w:tc>
        <w:tc>
          <w:tcPr>
            <w:tcW w:w="757" w:type="dxa"/>
            <w:vAlign w:val="center"/>
          </w:tcPr>
          <w:p>
            <w:pPr>
              <w:widowControl/>
              <w:jc w:val="center"/>
              <w:rPr>
                <w:kern w:val="0"/>
                <w:sz w:val="20"/>
                <w:szCs w:val="20"/>
              </w:rPr>
            </w:pPr>
            <w:r>
              <w:rPr>
                <w:sz w:val="20"/>
                <w:szCs w:val="20"/>
              </w:rPr>
              <w:t>100%</w:t>
            </w:r>
          </w:p>
        </w:tc>
        <w:tc>
          <w:tcPr>
            <w:tcW w:w="758" w:type="dxa"/>
            <w:vAlign w:val="center"/>
          </w:tcPr>
          <w:p>
            <w:pPr>
              <w:widowControl/>
              <w:jc w:val="center"/>
              <w:rPr>
                <w:kern w:val="0"/>
                <w:sz w:val="20"/>
                <w:szCs w:val="20"/>
              </w:rPr>
            </w:pPr>
            <w:r>
              <w:rPr>
                <w:sz w:val="20"/>
                <w:szCs w:val="20"/>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1.1.7</w:t>
            </w:r>
            <w:r>
              <w:rPr>
                <w:rFonts w:hAnsi="宋体"/>
                <w:kern w:val="0"/>
                <w:sz w:val="20"/>
                <w:szCs w:val="20"/>
              </w:rPr>
              <w:t>风险权重为</w:t>
            </w:r>
            <w:r>
              <w:rPr>
                <w:kern w:val="0"/>
                <w:sz w:val="20"/>
                <w:szCs w:val="20"/>
              </w:rPr>
              <w:t>150%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150%</w:t>
            </w:r>
          </w:p>
        </w:tc>
        <w:tc>
          <w:tcPr>
            <w:tcW w:w="758" w:type="dxa"/>
            <w:vAlign w:val="center"/>
          </w:tcPr>
          <w:p>
            <w:pPr>
              <w:widowControl/>
              <w:jc w:val="center"/>
              <w:rPr>
                <w:kern w:val="0"/>
                <w:sz w:val="20"/>
                <w:szCs w:val="20"/>
              </w:rPr>
            </w:pPr>
          </w:p>
        </w:tc>
      </w:tr>
    </w:tbl>
    <w:p>
      <w:pPr>
        <w:spacing w:line="440" w:lineRule="exact"/>
      </w:pPr>
      <w:r>
        <w:rPr>
          <w:rFonts w:hAnsi="宋体"/>
        </w:rPr>
        <w:t>最终结果如下：</w:t>
      </w:r>
    </w:p>
    <w:tbl>
      <w:tblPr>
        <w:tblStyle w:val="7"/>
        <w:tblW w:w="8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6"/>
        <w:gridCol w:w="757"/>
        <w:gridCol w:w="757"/>
        <w:gridCol w:w="757"/>
        <w:gridCol w:w="758"/>
        <w:gridCol w:w="757"/>
        <w:gridCol w:w="757"/>
        <w:gridCol w:w="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jc w:val="center"/>
              <w:rPr>
                <w:kern w:val="0"/>
                <w:sz w:val="20"/>
                <w:szCs w:val="20"/>
              </w:rPr>
            </w:pPr>
            <w:r>
              <w:rPr>
                <w:rFonts w:hAnsi="宋体"/>
                <w:kern w:val="0"/>
                <w:sz w:val="20"/>
                <w:szCs w:val="20"/>
              </w:rPr>
              <w:t>项目</w:t>
            </w:r>
          </w:p>
        </w:tc>
        <w:tc>
          <w:tcPr>
            <w:tcW w:w="757" w:type="dxa"/>
            <w:vAlign w:val="center"/>
          </w:tcPr>
          <w:p>
            <w:pPr>
              <w:widowControl/>
              <w:jc w:val="center"/>
              <w:rPr>
                <w:kern w:val="0"/>
                <w:sz w:val="20"/>
                <w:szCs w:val="20"/>
              </w:rPr>
            </w:pPr>
            <w:r>
              <w:rPr>
                <w:rFonts w:hAnsi="宋体"/>
                <w:kern w:val="0"/>
                <w:sz w:val="20"/>
                <w:szCs w:val="20"/>
              </w:rPr>
              <w:t>转换前资产</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转换系数</w:t>
            </w:r>
          </w:p>
        </w:tc>
        <w:tc>
          <w:tcPr>
            <w:tcW w:w="757" w:type="dxa"/>
            <w:vAlign w:val="center"/>
          </w:tcPr>
          <w:p>
            <w:pPr>
              <w:widowControl/>
              <w:jc w:val="center"/>
              <w:rPr>
                <w:kern w:val="0"/>
                <w:sz w:val="20"/>
                <w:szCs w:val="20"/>
              </w:rPr>
            </w:pPr>
            <w:r>
              <w:rPr>
                <w:rFonts w:hAnsi="宋体"/>
                <w:kern w:val="0"/>
                <w:sz w:val="20"/>
                <w:szCs w:val="20"/>
              </w:rPr>
              <w:t>转换后风险暴露</w:t>
            </w:r>
          </w:p>
        </w:tc>
        <w:tc>
          <w:tcPr>
            <w:tcW w:w="758" w:type="dxa"/>
            <w:vAlign w:val="center"/>
          </w:tcPr>
          <w:p>
            <w:pPr>
              <w:widowControl/>
              <w:jc w:val="center"/>
              <w:rPr>
                <w:kern w:val="0"/>
                <w:sz w:val="20"/>
                <w:szCs w:val="20"/>
              </w:rPr>
            </w:pPr>
            <w:r>
              <w:rPr>
                <w:rFonts w:hAnsi="宋体"/>
                <w:kern w:val="0"/>
                <w:sz w:val="20"/>
                <w:szCs w:val="20"/>
              </w:rPr>
              <w:t>减值准备</w:t>
            </w:r>
          </w:p>
        </w:tc>
        <w:tc>
          <w:tcPr>
            <w:tcW w:w="757" w:type="dxa"/>
            <w:vAlign w:val="center"/>
          </w:tcPr>
          <w:p>
            <w:pPr>
              <w:widowControl/>
              <w:jc w:val="center"/>
              <w:rPr>
                <w:kern w:val="0"/>
                <w:sz w:val="20"/>
                <w:szCs w:val="20"/>
              </w:rPr>
            </w:pPr>
            <w:r>
              <w:rPr>
                <w:rFonts w:hAnsi="宋体"/>
                <w:kern w:val="0"/>
                <w:sz w:val="20"/>
                <w:szCs w:val="20"/>
              </w:rPr>
              <w:t>风险暴露净值</w:t>
            </w:r>
          </w:p>
        </w:tc>
        <w:tc>
          <w:tcPr>
            <w:tcW w:w="757" w:type="dxa"/>
            <w:tcBorders>
              <w:bottom w:val="single" w:color="auto" w:sz="4" w:space="0"/>
            </w:tcBorders>
            <w:vAlign w:val="center"/>
          </w:tcPr>
          <w:p>
            <w:pPr>
              <w:widowControl/>
              <w:jc w:val="center"/>
              <w:rPr>
                <w:kern w:val="0"/>
                <w:sz w:val="20"/>
                <w:szCs w:val="20"/>
              </w:rPr>
            </w:pPr>
            <w:r>
              <w:rPr>
                <w:rFonts w:hAnsi="宋体"/>
                <w:kern w:val="0"/>
                <w:sz w:val="20"/>
                <w:szCs w:val="20"/>
              </w:rPr>
              <w:t>风险权重</w:t>
            </w:r>
          </w:p>
        </w:tc>
        <w:tc>
          <w:tcPr>
            <w:tcW w:w="758" w:type="dxa"/>
            <w:vAlign w:val="center"/>
          </w:tcPr>
          <w:p>
            <w:pPr>
              <w:widowControl/>
              <w:jc w:val="center"/>
              <w:rPr>
                <w:kern w:val="0"/>
                <w:sz w:val="20"/>
                <w:szCs w:val="20"/>
              </w:rPr>
            </w:pPr>
            <w:r>
              <w:rPr>
                <w:rFonts w:hAnsi="宋体"/>
                <w:kern w:val="0"/>
                <w:sz w:val="20"/>
                <w:szCs w:val="20"/>
              </w:rPr>
              <w:t>风险加权资产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rPr>
                <w:kern w:val="0"/>
                <w:sz w:val="20"/>
                <w:szCs w:val="20"/>
              </w:rPr>
            </w:pPr>
            <w:r>
              <w:rPr>
                <w:kern w:val="0"/>
                <w:sz w:val="20"/>
                <w:szCs w:val="20"/>
              </w:rPr>
              <w:t>1.</w:t>
            </w:r>
            <w:r>
              <w:rPr>
                <w:rFonts w:hAnsi="宋体"/>
                <w:kern w:val="0"/>
                <w:sz w:val="20"/>
                <w:szCs w:val="20"/>
              </w:rPr>
              <w:t>等同于贷款的授信业务</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rFonts w:hint="eastAsia"/>
                <w:sz w:val="20"/>
                <w:szCs w:val="20"/>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shd w:val="clear" w:color="auto" w:fill="auto"/>
            <w:vAlign w:val="center"/>
          </w:tcPr>
          <w:p>
            <w:pPr>
              <w:widowControl/>
              <w:ind w:firstLine="200" w:firstLineChars="100"/>
              <w:rPr>
                <w:kern w:val="0"/>
                <w:sz w:val="20"/>
                <w:szCs w:val="20"/>
              </w:rPr>
            </w:pPr>
            <w:r>
              <w:rPr>
                <w:kern w:val="0"/>
                <w:sz w:val="20"/>
                <w:szCs w:val="20"/>
              </w:rPr>
              <w:t>1.1</w:t>
            </w:r>
            <w:r>
              <w:rPr>
                <w:rFonts w:hAnsi="宋体"/>
                <w:kern w:val="0"/>
                <w:sz w:val="20"/>
                <w:szCs w:val="20"/>
              </w:rPr>
              <w:t>银行承兑汇票</w:t>
            </w:r>
          </w:p>
        </w:tc>
        <w:tc>
          <w:tcPr>
            <w:tcW w:w="757" w:type="dxa"/>
            <w:shd w:val="clear" w:color="auto" w:fill="auto"/>
            <w:vAlign w:val="center"/>
          </w:tcPr>
          <w:p>
            <w:pPr>
              <w:widowControl/>
              <w:jc w:val="center"/>
              <w:rPr>
                <w:kern w:val="0"/>
                <w:sz w:val="20"/>
                <w:szCs w:val="20"/>
              </w:rPr>
            </w:pPr>
            <w:r>
              <w:rPr>
                <w:kern w:val="0"/>
                <w:sz w:val="20"/>
                <w:szCs w:val="20"/>
              </w:rPr>
              <w:t>1000</w:t>
            </w:r>
          </w:p>
        </w:tc>
        <w:tc>
          <w:tcPr>
            <w:tcW w:w="757" w:type="dxa"/>
            <w:shd w:val="clear" w:color="auto" w:fill="C0C0C0"/>
            <w:vAlign w:val="center"/>
          </w:tcPr>
          <w:p>
            <w:pPr>
              <w:widowControl/>
              <w:jc w:val="center"/>
              <w:rPr>
                <w:kern w:val="0"/>
                <w:sz w:val="20"/>
                <w:szCs w:val="20"/>
              </w:rPr>
            </w:pPr>
          </w:p>
        </w:tc>
        <w:tc>
          <w:tcPr>
            <w:tcW w:w="757" w:type="dxa"/>
            <w:shd w:val="clear" w:color="auto" w:fill="auto"/>
            <w:vAlign w:val="center"/>
          </w:tcPr>
          <w:p>
            <w:pPr>
              <w:widowControl/>
              <w:jc w:val="center"/>
              <w:rPr>
                <w:kern w:val="0"/>
                <w:sz w:val="20"/>
                <w:szCs w:val="20"/>
              </w:rPr>
            </w:pPr>
            <w:r>
              <w:rPr>
                <w:rFonts w:hint="eastAsia"/>
                <w:kern w:val="0"/>
                <w:sz w:val="20"/>
                <w:szCs w:val="20"/>
              </w:rPr>
              <w:t>1000</w:t>
            </w:r>
          </w:p>
        </w:tc>
        <w:tc>
          <w:tcPr>
            <w:tcW w:w="758" w:type="dxa"/>
            <w:shd w:val="clear" w:color="auto" w:fill="auto"/>
            <w:vAlign w:val="center"/>
          </w:tcPr>
          <w:p>
            <w:pPr>
              <w:widowControl/>
              <w:jc w:val="center"/>
              <w:rPr>
                <w:kern w:val="0"/>
                <w:sz w:val="20"/>
                <w:szCs w:val="20"/>
              </w:rPr>
            </w:pPr>
            <w:r>
              <w:rPr>
                <w:kern w:val="0"/>
                <w:sz w:val="20"/>
                <w:szCs w:val="20"/>
              </w:rPr>
              <w:t>10</w:t>
            </w:r>
          </w:p>
        </w:tc>
        <w:tc>
          <w:tcPr>
            <w:tcW w:w="757" w:type="dxa"/>
            <w:shd w:val="clear" w:color="auto" w:fill="auto"/>
            <w:vAlign w:val="center"/>
          </w:tcPr>
          <w:p>
            <w:pPr>
              <w:widowControl/>
              <w:jc w:val="center"/>
              <w:rPr>
                <w:kern w:val="0"/>
                <w:sz w:val="20"/>
                <w:szCs w:val="20"/>
              </w:rPr>
            </w:pPr>
            <w:r>
              <w:rPr>
                <w:kern w:val="0"/>
                <w:sz w:val="20"/>
                <w:szCs w:val="20"/>
              </w:rPr>
              <w:t>990</w:t>
            </w:r>
          </w:p>
        </w:tc>
        <w:tc>
          <w:tcPr>
            <w:tcW w:w="757" w:type="dxa"/>
            <w:shd w:val="clear" w:color="auto" w:fill="C0C0C0"/>
            <w:vAlign w:val="center"/>
          </w:tcPr>
          <w:p>
            <w:pPr>
              <w:widowControl/>
              <w:jc w:val="center"/>
              <w:rPr>
                <w:kern w:val="0"/>
                <w:sz w:val="20"/>
                <w:szCs w:val="20"/>
              </w:rPr>
            </w:pPr>
          </w:p>
        </w:tc>
        <w:tc>
          <w:tcPr>
            <w:tcW w:w="758" w:type="dxa"/>
            <w:vAlign w:val="center"/>
          </w:tcPr>
          <w:p>
            <w:pPr>
              <w:widowControl/>
              <w:jc w:val="center"/>
              <w:rPr>
                <w:kern w:val="0"/>
                <w:sz w:val="20"/>
                <w:szCs w:val="20"/>
              </w:rPr>
            </w:pPr>
            <w:r>
              <w:rPr>
                <w:rFonts w:hint="eastAsia"/>
                <w:sz w:val="20"/>
                <w:szCs w:val="20"/>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1.1.1</w:t>
            </w:r>
            <w:r>
              <w:rPr>
                <w:rFonts w:hAnsi="宋体"/>
                <w:kern w:val="0"/>
                <w:sz w:val="20"/>
                <w:szCs w:val="20"/>
              </w:rPr>
              <w:t>风险权重为</w:t>
            </w:r>
            <w:r>
              <w:rPr>
                <w:kern w:val="0"/>
                <w:sz w:val="20"/>
                <w:szCs w:val="20"/>
              </w:rPr>
              <w:t>0%</w:t>
            </w:r>
          </w:p>
        </w:tc>
        <w:tc>
          <w:tcPr>
            <w:tcW w:w="757" w:type="dxa"/>
            <w:vAlign w:val="center"/>
          </w:tcPr>
          <w:p>
            <w:pPr>
              <w:widowControl/>
              <w:jc w:val="center"/>
              <w:rPr>
                <w:kern w:val="0"/>
                <w:sz w:val="20"/>
                <w:szCs w:val="20"/>
              </w:rPr>
            </w:pPr>
            <w:r>
              <w:rPr>
                <w:rFonts w:hint="eastAsia"/>
                <w:kern w:val="0"/>
                <w:sz w:val="20"/>
                <w:szCs w:val="20"/>
              </w:rPr>
              <w:t>5</w:t>
            </w:r>
            <w:r>
              <w:rPr>
                <w:kern w:val="0"/>
                <w:sz w:val="20"/>
                <w:szCs w:val="20"/>
              </w:rPr>
              <w:t>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rFonts w:hint="eastAsia"/>
                <w:kern w:val="0"/>
                <w:sz w:val="20"/>
                <w:szCs w:val="20"/>
              </w:rPr>
              <w:t>5</w:t>
            </w:r>
            <w:r>
              <w:rPr>
                <w:kern w:val="0"/>
                <w:sz w:val="20"/>
                <w:szCs w:val="20"/>
              </w:rPr>
              <w:t>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5</w:t>
            </w:r>
            <w:r>
              <w:rPr>
                <w:sz w:val="20"/>
                <w:szCs w:val="20"/>
              </w:rPr>
              <w:t>00</w:t>
            </w:r>
          </w:p>
        </w:tc>
        <w:tc>
          <w:tcPr>
            <w:tcW w:w="757" w:type="dxa"/>
            <w:vAlign w:val="center"/>
          </w:tcPr>
          <w:p>
            <w:pPr>
              <w:widowControl/>
              <w:jc w:val="center"/>
              <w:rPr>
                <w:kern w:val="0"/>
                <w:sz w:val="20"/>
                <w:szCs w:val="20"/>
              </w:rPr>
            </w:pPr>
            <w:r>
              <w:rPr>
                <w:sz w:val="20"/>
                <w:szCs w:val="20"/>
              </w:rPr>
              <w:t>0%</w:t>
            </w:r>
          </w:p>
        </w:tc>
        <w:tc>
          <w:tcPr>
            <w:tcW w:w="758" w:type="dxa"/>
            <w:vAlign w:val="center"/>
          </w:tcPr>
          <w:p>
            <w:pPr>
              <w:widowControl/>
              <w:jc w:val="center"/>
              <w:rPr>
                <w:kern w:val="0"/>
                <w:sz w:val="20"/>
                <w:szCs w:val="20"/>
              </w:rPr>
            </w:pPr>
            <w:r>
              <w:rPr>
                <w:sz w:val="20"/>
                <w:szCs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1.1.2</w:t>
            </w:r>
            <w:r>
              <w:rPr>
                <w:rFonts w:hAnsi="宋体"/>
                <w:kern w:val="0"/>
                <w:sz w:val="20"/>
                <w:szCs w:val="20"/>
              </w:rPr>
              <w:t>风险权重为</w:t>
            </w:r>
            <w:r>
              <w:rPr>
                <w:kern w:val="0"/>
                <w:sz w:val="20"/>
                <w:szCs w:val="20"/>
              </w:rPr>
              <w:t>20%</w:t>
            </w:r>
          </w:p>
        </w:tc>
        <w:tc>
          <w:tcPr>
            <w:tcW w:w="757" w:type="dxa"/>
            <w:vAlign w:val="center"/>
          </w:tcPr>
          <w:p>
            <w:pPr>
              <w:widowControl/>
              <w:jc w:val="center"/>
              <w:rPr>
                <w:kern w:val="0"/>
                <w:sz w:val="20"/>
                <w:szCs w:val="20"/>
              </w:rPr>
            </w:pPr>
            <w:r>
              <w:rPr>
                <w:rFonts w:hint="eastAsia"/>
                <w:kern w:val="0"/>
                <w:sz w:val="20"/>
                <w:szCs w:val="20"/>
              </w:rPr>
              <w:t>2</w:t>
            </w:r>
            <w:r>
              <w:rPr>
                <w:kern w:val="0"/>
                <w:sz w:val="20"/>
                <w:szCs w:val="20"/>
              </w:rPr>
              <w:t>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rFonts w:hint="eastAsia"/>
                <w:kern w:val="0"/>
                <w:sz w:val="20"/>
                <w:szCs w:val="20"/>
              </w:rPr>
              <w:t>2</w:t>
            </w:r>
            <w:r>
              <w:rPr>
                <w:kern w:val="0"/>
                <w:sz w:val="20"/>
                <w:szCs w:val="20"/>
              </w:rPr>
              <w:t>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rFonts w:hint="eastAsia"/>
                <w:sz w:val="20"/>
                <w:szCs w:val="20"/>
              </w:rPr>
              <w:t>2</w:t>
            </w:r>
            <w:r>
              <w:rPr>
                <w:sz w:val="20"/>
                <w:szCs w:val="20"/>
              </w:rPr>
              <w:t>00</w:t>
            </w:r>
          </w:p>
        </w:tc>
        <w:tc>
          <w:tcPr>
            <w:tcW w:w="757" w:type="dxa"/>
            <w:vAlign w:val="center"/>
          </w:tcPr>
          <w:p>
            <w:pPr>
              <w:widowControl/>
              <w:jc w:val="center"/>
              <w:rPr>
                <w:kern w:val="0"/>
                <w:sz w:val="20"/>
                <w:szCs w:val="20"/>
              </w:rPr>
            </w:pPr>
            <w:r>
              <w:rPr>
                <w:sz w:val="20"/>
                <w:szCs w:val="20"/>
              </w:rPr>
              <w:t>20%</w:t>
            </w:r>
          </w:p>
        </w:tc>
        <w:tc>
          <w:tcPr>
            <w:tcW w:w="758" w:type="dxa"/>
            <w:vAlign w:val="center"/>
          </w:tcPr>
          <w:p>
            <w:pPr>
              <w:widowControl/>
              <w:jc w:val="center"/>
              <w:rPr>
                <w:kern w:val="0"/>
                <w:sz w:val="20"/>
                <w:szCs w:val="20"/>
              </w:rPr>
            </w:pP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1.1.3</w:t>
            </w:r>
            <w:r>
              <w:rPr>
                <w:rFonts w:hAnsi="宋体"/>
                <w:kern w:val="0"/>
                <w:sz w:val="20"/>
                <w:szCs w:val="20"/>
              </w:rPr>
              <w:t>风险权重为</w:t>
            </w:r>
            <w:r>
              <w:rPr>
                <w:rFonts w:hint="eastAsia" w:hAnsi="宋体"/>
                <w:kern w:val="0"/>
                <w:sz w:val="20"/>
                <w:szCs w:val="20"/>
              </w:rPr>
              <w:t>40</w:t>
            </w:r>
            <w:r>
              <w:rPr>
                <w:kern w:val="0"/>
                <w:sz w:val="20"/>
                <w:szCs w:val="20"/>
              </w:rPr>
              <w:t>%</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100</w:t>
            </w: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100</w:t>
            </w:r>
          </w:p>
        </w:tc>
        <w:tc>
          <w:tcPr>
            <w:tcW w:w="757" w:type="dxa"/>
            <w:vAlign w:val="center"/>
          </w:tcPr>
          <w:p>
            <w:pPr>
              <w:widowControl/>
              <w:jc w:val="center"/>
              <w:rPr>
                <w:kern w:val="0"/>
                <w:sz w:val="20"/>
                <w:szCs w:val="20"/>
              </w:rPr>
            </w:pPr>
            <w:r>
              <w:rPr>
                <w:rFonts w:hint="eastAsia"/>
                <w:sz w:val="20"/>
                <w:szCs w:val="20"/>
              </w:rPr>
              <w:t>40</w:t>
            </w:r>
            <w:r>
              <w:rPr>
                <w:sz w:val="20"/>
                <w:szCs w:val="20"/>
              </w:rPr>
              <w:t>%</w:t>
            </w:r>
          </w:p>
        </w:tc>
        <w:tc>
          <w:tcPr>
            <w:tcW w:w="758" w:type="dxa"/>
            <w:vAlign w:val="center"/>
          </w:tcPr>
          <w:p>
            <w:pPr>
              <w:widowControl/>
              <w:jc w:val="center"/>
              <w:rPr>
                <w:kern w:val="0"/>
                <w:sz w:val="20"/>
                <w:szCs w:val="20"/>
              </w:rPr>
            </w:pPr>
            <w:r>
              <w:rPr>
                <w:rFonts w:hint="eastAsia"/>
                <w:sz w:val="20"/>
                <w:szCs w:val="2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1.1.4</w:t>
            </w:r>
            <w:r>
              <w:rPr>
                <w:rFonts w:hAnsi="宋体"/>
                <w:kern w:val="0"/>
                <w:sz w:val="20"/>
                <w:szCs w:val="20"/>
              </w:rPr>
              <w:t>风险权重为</w:t>
            </w:r>
            <w:r>
              <w:rPr>
                <w:kern w:val="0"/>
                <w:sz w:val="20"/>
                <w:szCs w:val="20"/>
              </w:rPr>
              <w:t>50%</w:t>
            </w: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p>
        </w:tc>
        <w:tc>
          <w:tcPr>
            <w:tcW w:w="758" w:type="dxa"/>
            <w:vAlign w:val="center"/>
          </w:tcPr>
          <w:p>
            <w:pPr>
              <w:widowControl/>
              <w:jc w:val="center"/>
              <w:rPr>
                <w:kern w:val="0"/>
                <w:sz w:val="20"/>
                <w:szCs w:val="20"/>
              </w:rPr>
            </w:pPr>
          </w:p>
        </w:tc>
        <w:tc>
          <w:tcPr>
            <w:tcW w:w="757" w:type="dxa"/>
            <w:vAlign w:val="center"/>
          </w:tcPr>
          <w:p>
            <w:pPr>
              <w:widowControl/>
              <w:jc w:val="center"/>
              <w:rPr>
                <w:kern w:val="0"/>
                <w:sz w:val="20"/>
                <w:szCs w:val="20"/>
              </w:rPr>
            </w:pPr>
          </w:p>
        </w:tc>
        <w:tc>
          <w:tcPr>
            <w:tcW w:w="757" w:type="dxa"/>
            <w:vAlign w:val="center"/>
          </w:tcPr>
          <w:p>
            <w:pPr>
              <w:widowControl/>
              <w:jc w:val="center"/>
              <w:rPr>
                <w:kern w:val="0"/>
                <w:sz w:val="20"/>
                <w:szCs w:val="20"/>
              </w:rPr>
            </w:pPr>
            <w:r>
              <w:rPr>
                <w:sz w:val="20"/>
                <w:szCs w:val="20"/>
              </w:rPr>
              <w:t>50%</w:t>
            </w:r>
          </w:p>
        </w:tc>
        <w:tc>
          <w:tcPr>
            <w:tcW w:w="758" w:type="dxa"/>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tcBorders>
              <w:bottom w:val="single" w:color="auto" w:sz="4" w:space="0"/>
            </w:tcBorders>
            <w:vAlign w:val="center"/>
          </w:tcPr>
          <w:p>
            <w:pPr>
              <w:widowControl/>
              <w:ind w:firstLine="400" w:firstLineChars="200"/>
              <w:rPr>
                <w:kern w:val="0"/>
                <w:sz w:val="20"/>
                <w:szCs w:val="20"/>
              </w:rPr>
            </w:pPr>
            <w:r>
              <w:rPr>
                <w:kern w:val="0"/>
                <w:sz w:val="20"/>
                <w:szCs w:val="20"/>
              </w:rPr>
              <w:t>1.1.5</w:t>
            </w:r>
            <w:r>
              <w:rPr>
                <w:rFonts w:hAnsi="宋体"/>
                <w:kern w:val="0"/>
                <w:sz w:val="20"/>
                <w:szCs w:val="20"/>
              </w:rPr>
              <w:t>风险权重为</w:t>
            </w:r>
            <w:r>
              <w:rPr>
                <w:kern w:val="0"/>
                <w:sz w:val="20"/>
                <w:szCs w:val="20"/>
              </w:rPr>
              <w:t>75%</w:t>
            </w:r>
          </w:p>
        </w:tc>
        <w:tc>
          <w:tcPr>
            <w:tcW w:w="757"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r>
              <w:rPr>
                <w:kern w:val="0"/>
                <w:sz w:val="20"/>
                <w:szCs w:val="20"/>
              </w:rPr>
              <w:t>100%</w:t>
            </w:r>
          </w:p>
        </w:tc>
        <w:tc>
          <w:tcPr>
            <w:tcW w:w="757" w:type="dxa"/>
            <w:tcBorders>
              <w:bottom w:val="single" w:color="auto" w:sz="4" w:space="0"/>
            </w:tcBorders>
            <w:vAlign w:val="center"/>
          </w:tcPr>
          <w:p>
            <w:pPr>
              <w:widowControl/>
              <w:jc w:val="center"/>
              <w:rPr>
                <w:kern w:val="0"/>
                <w:sz w:val="20"/>
                <w:szCs w:val="20"/>
              </w:rPr>
            </w:pPr>
          </w:p>
        </w:tc>
        <w:tc>
          <w:tcPr>
            <w:tcW w:w="758"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r>
              <w:rPr>
                <w:sz w:val="20"/>
                <w:szCs w:val="20"/>
              </w:rPr>
              <w:t>75%</w:t>
            </w:r>
          </w:p>
        </w:tc>
        <w:tc>
          <w:tcPr>
            <w:tcW w:w="758" w:type="dxa"/>
            <w:tcBorders>
              <w:bottom w:val="single" w:color="auto" w:sz="4" w:space="0"/>
            </w:tcBorders>
            <w:vAlign w:val="center"/>
          </w:tcPr>
          <w:p>
            <w:pPr>
              <w:widowControl/>
              <w:jc w:val="center"/>
              <w:rPr>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vAlign w:val="center"/>
          </w:tcPr>
          <w:p>
            <w:pPr>
              <w:widowControl/>
              <w:ind w:firstLine="400" w:firstLineChars="200"/>
              <w:rPr>
                <w:kern w:val="0"/>
                <w:sz w:val="20"/>
                <w:szCs w:val="20"/>
              </w:rPr>
            </w:pPr>
            <w:r>
              <w:rPr>
                <w:kern w:val="0"/>
                <w:sz w:val="20"/>
                <w:szCs w:val="20"/>
              </w:rPr>
              <w:t>1.1.6</w:t>
            </w:r>
            <w:r>
              <w:rPr>
                <w:rFonts w:hAnsi="宋体"/>
                <w:kern w:val="0"/>
                <w:sz w:val="20"/>
                <w:szCs w:val="20"/>
              </w:rPr>
              <w:t>风险权重为</w:t>
            </w: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7" w:type="dxa"/>
            <w:vAlign w:val="center"/>
          </w:tcPr>
          <w:p>
            <w:pPr>
              <w:widowControl/>
              <w:jc w:val="center"/>
              <w:rPr>
                <w:kern w:val="0"/>
                <w:sz w:val="20"/>
                <w:szCs w:val="20"/>
              </w:rPr>
            </w:pPr>
            <w:r>
              <w:rPr>
                <w:kern w:val="0"/>
                <w:sz w:val="20"/>
                <w:szCs w:val="20"/>
              </w:rPr>
              <w:t>100%</w:t>
            </w:r>
          </w:p>
        </w:tc>
        <w:tc>
          <w:tcPr>
            <w:tcW w:w="757" w:type="dxa"/>
            <w:vAlign w:val="center"/>
          </w:tcPr>
          <w:p>
            <w:pPr>
              <w:widowControl/>
              <w:jc w:val="center"/>
              <w:rPr>
                <w:kern w:val="0"/>
                <w:sz w:val="20"/>
                <w:szCs w:val="20"/>
              </w:rPr>
            </w:pPr>
            <w:r>
              <w:rPr>
                <w:kern w:val="0"/>
                <w:sz w:val="20"/>
                <w:szCs w:val="20"/>
              </w:rPr>
              <w:t>200</w:t>
            </w:r>
          </w:p>
        </w:tc>
        <w:tc>
          <w:tcPr>
            <w:tcW w:w="758" w:type="dxa"/>
            <w:vAlign w:val="center"/>
          </w:tcPr>
          <w:p>
            <w:pPr>
              <w:widowControl/>
              <w:jc w:val="center"/>
              <w:rPr>
                <w:kern w:val="0"/>
                <w:sz w:val="20"/>
                <w:szCs w:val="20"/>
              </w:rPr>
            </w:pPr>
            <w:r>
              <w:rPr>
                <w:kern w:val="0"/>
                <w:sz w:val="20"/>
                <w:szCs w:val="20"/>
              </w:rPr>
              <w:t>10</w:t>
            </w:r>
          </w:p>
        </w:tc>
        <w:tc>
          <w:tcPr>
            <w:tcW w:w="757" w:type="dxa"/>
            <w:vAlign w:val="center"/>
          </w:tcPr>
          <w:p>
            <w:pPr>
              <w:widowControl/>
              <w:jc w:val="center"/>
              <w:rPr>
                <w:kern w:val="0"/>
                <w:sz w:val="20"/>
                <w:szCs w:val="20"/>
              </w:rPr>
            </w:pPr>
            <w:r>
              <w:rPr>
                <w:sz w:val="20"/>
                <w:szCs w:val="20"/>
              </w:rPr>
              <w:t>190</w:t>
            </w:r>
          </w:p>
        </w:tc>
        <w:tc>
          <w:tcPr>
            <w:tcW w:w="757" w:type="dxa"/>
            <w:vAlign w:val="center"/>
          </w:tcPr>
          <w:p>
            <w:pPr>
              <w:widowControl/>
              <w:jc w:val="center"/>
              <w:rPr>
                <w:kern w:val="0"/>
                <w:sz w:val="20"/>
                <w:szCs w:val="20"/>
              </w:rPr>
            </w:pPr>
            <w:r>
              <w:rPr>
                <w:sz w:val="20"/>
                <w:szCs w:val="20"/>
              </w:rPr>
              <w:t>100%</w:t>
            </w:r>
          </w:p>
        </w:tc>
        <w:tc>
          <w:tcPr>
            <w:tcW w:w="758" w:type="dxa"/>
            <w:vAlign w:val="center"/>
          </w:tcPr>
          <w:p>
            <w:pPr>
              <w:widowControl/>
              <w:jc w:val="center"/>
              <w:rPr>
                <w:kern w:val="0"/>
                <w:sz w:val="20"/>
                <w:szCs w:val="20"/>
              </w:rPr>
            </w:pPr>
            <w:r>
              <w:rPr>
                <w:sz w:val="20"/>
                <w:szCs w:val="20"/>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876" w:type="dxa"/>
            <w:tcBorders>
              <w:bottom w:val="single" w:color="auto" w:sz="4" w:space="0"/>
            </w:tcBorders>
            <w:vAlign w:val="center"/>
          </w:tcPr>
          <w:p>
            <w:pPr>
              <w:widowControl/>
              <w:ind w:firstLine="400" w:firstLineChars="200"/>
              <w:rPr>
                <w:kern w:val="0"/>
                <w:sz w:val="20"/>
                <w:szCs w:val="20"/>
              </w:rPr>
            </w:pPr>
            <w:r>
              <w:rPr>
                <w:kern w:val="0"/>
                <w:sz w:val="20"/>
                <w:szCs w:val="20"/>
              </w:rPr>
              <w:t>1.1.7</w:t>
            </w:r>
            <w:r>
              <w:rPr>
                <w:rFonts w:hAnsi="宋体"/>
                <w:kern w:val="0"/>
                <w:sz w:val="20"/>
                <w:szCs w:val="20"/>
              </w:rPr>
              <w:t>风险权重为</w:t>
            </w:r>
            <w:r>
              <w:rPr>
                <w:kern w:val="0"/>
                <w:sz w:val="20"/>
                <w:szCs w:val="20"/>
              </w:rPr>
              <w:t>150%</w:t>
            </w:r>
          </w:p>
        </w:tc>
        <w:tc>
          <w:tcPr>
            <w:tcW w:w="757"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r>
              <w:rPr>
                <w:kern w:val="0"/>
                <w:sz w:val="20"/>
                <w:szCs w:val="20"/>
              </w:rPr>
              <w:t>100%</w:t>
            </w:r>
          </w:p>
        </w:tc>
        <w:tc>
          <w:tcPr>
            <w:tcW w:w="757" w:type="dxa"/>
            <w:tcBorders>
              <w:bottom w:val="single" w:color="auto" w:sz="4" w:space="0"/>
            </w:tcBorders>
            <w:vAlign w:val="center"/>
          </w:tcPr>
          <w:p>
            <w:pPr>
              <w:widowControl/>
              <w:jc w:val="center"/>
              <w:rPr>
                <w:kern w:val="0"/>
                <w:sz w:val="20"/>
                <w:szCs w:val="20"/>
              </w:rPr>
            </w:pPr>
          </w:p>
        </w:tc>
        <w:tc>
          <w:tcPr>
            <w:tcW w:w="758"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p>
        </w:tc>
        <w:tc>
          <w:tcPr>
            <w:tcW w:w="757" w:type="dxa"/>
            <w:tcBorders>
              <w:bottom w:val="single" w:color="auto" w:sz="4" w:space="0"/>
            </w:tcBorders>
            <w:vAlign w:val="center"/>
          </w:tcPr>
          <w:p>
            <w:pPr>
              <w:widowControl/>
              <w:jc w:val="center"/>
              <w:rPr>
                <w:kern w:val="0"/>
                <w:sz w:val="20"/>
                <w:szCs w:val="20"/>
              </w:rPr>
            </w:pPr>
            <w:r>
              <w:rPr>
                <w:sz w:val="20"/>
                <w:szCs w:val="20"/>
              </w:rPr>
              <w:t>150%</w:t>
            </w:r>
          </w:p>
        </w:tc>
        <w:tc>
          <w:tcPr>
            <w:tcW w:w="758" w:type="dxa"/>
            <w:tcBorders>
              <w:bottom w:val="single" w:color="auto" w:sz="4" w:space="0"/>
            </w:tcBorders>
            <w:vAlign w:val="center"/>
          </w:tcPr>
          <w:p>
            <w:pPr>
              <w:widowControl/>
              <w:jc w:val="center"/>
              <w:rPr>
                <w:kern w:val="0"/>
                <w:sz w:val="20"/>
                <w:szCs w:val="20"/>
              </w:rPr>
            </w:pPr>
          </w:p>
        </w:tc>
      </w:tr>
    </w:tbl>
    <w:p/>
    <w:sectPr>
      <w:footerReference r:id="rId3" w:type="default"/>
      <w:footerReference r:id="rId4"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Abel">
    <w:altName w:val="DejaVu Math TeX Gyre"/>
    <w:panose1 w:val="02000506030000020004"/>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fldChar w:fldCharType="begin"/>
    </w:r>
    <w:r>
      <w:rPr>
        <w:rStyle w:val="9"/>
      </w:rPr>
      <w:instrText xml:space="preserve">PAGE  </w:instrText>
    </w:r>
    <w:r>
      <w:fldChar w:fldCharType="separate"/>
    </w:r>
    <w:r>
      <w:rPr>
        <w:rStyle w:val="9"/>
      </w:rPr>
      <w:t>9</w:t>
    </w:r>
    <w:r>
      <w:fldChar w:fldCharType="end"/>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9"/>
      </w:rPr>
    </w:pPr>
    <w:r>
      <w:fldChar w:fldCharType="begin"/>
    </w:r>
    <w:r>
      <w:rPr>
        <w:rStyle w:val="9"/>
      </w:rPr>
      <w:instrText xml:space="preserve">PAGE  </w:instrText>
    </w:r>
    <w:r>
      <w:fldChar w:fldCharType="end"/>
    </w:r>
  </w:p>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kZTUwZDg4OGNlMmFiY2NmMGY3MjY4MWFhMmM1YjIifQ=="/>
  </w:docVars>
  <w:rsids>
    <w:rsidRoot w:val="19142976"/>
    <w:rsid w:val="0004614F"/>
    <w:rsid w:val="00060D80"/>
    <w:rsid w:val="00065A75"/>
    <w:rsid w:val="0009145F"/>
    <w:rsid w:val="0009183F"/>
    <w:rsid w:val="000C4D7E"/>
    <w:rsid w:val="000F379B"/>
    <w:rsid w:val="000F7DFB"/>
    <w:rsid w:val="001142EF"/>
    <w:rsid w:val="00142F00"/>
    <w:rsid w:val="0014734B"/>
    <w:rsid w:val="001520EF"/>
    <w:rsid w:val="00171204"/>
    <w:rsid w:val="00173FF2"/>
    <w:rsid w:val="001F017C"/>
    <w:rsid w:val="001F505E"/>
    <w:rsid w:val="0022369F"/>
    <w:rsid w:val="002467CC"/>
    <w:rsid w:val="002C47E2"/>
    <w:rsid w:val="002F6456"/>
    <w:rsid w:val="00337C2C"/>
    <w:rsid w:val="00391021"/>
    <w:rsid w:val="003A5F2A"/>
    <w:rsid w:val="003D2182"/>
    <w:rsid w:val="00401586"/>
    <w:rsid w:val="0040518B"/>
    <w:rsid w:val="00430DAE"/>
    <w:rsid w:val="00436E85"/>
    <w:rsid w:val="00465572"/>
    <w:rsid w:val="004D0C23"/>
    <w:rsid w:val="00511592"/>
    <w:rsid w:val="005502E3"/>
    <w:rsid w:val="00566D03"/>
    <w:rsid w:val="00595FCF"/>
    <w:rsid w:val="005C4299"/>
    <w:rsid w:val="005D05CC"/>
    <w:rsid w:val="00613F62"/>
    <w:rsid w:val="00624CFF"/>
    <w:rsid w:val="006B02F3"/>
    <w:rsid w:val="00700230"/>
    <w:rsid w:val="00742DED"/>
    <w:rsid w:val="00890CA8"/>
    <w:rsid w:val="008A03E1"/>
    <w:rsid w:val="00904F3F"/>
    <w:rsid w:val="009C2BD2"/>
    <w:rsid w:val="009E4BEC"/>
    <w:rsid w:val="009F47D7"/>
    <w:rsid w:val="00A163FE"/>
    <w:rsid w:val="00A73531"/>
    <w:rsid w:val="00A96CB7"/>
    <w:rsid w:val="00AB6D6B"/>
    <w:rsid w:val="00AD0166"/>
    <w:rsid w:val="00BD0957"/>
    <w:rsid w:val="00C41F42"/>
    <w:rsid w:val="00C6370C"/>
    <w:rsid w:val="00CB54F5"/>
    <w:rsid w:val="00CE62AC"/>
    <w:rsid w:val="00D367C1"/>
    <w:rsid w:val="00DD25C4"/>
    <w:rsid w:val="00DE364A"/>
    <w:rsid w:val="00E17075"/>
    <w:rsid w:val="00E423D3"/>
    <w:rsid w:val="00E45902"/>
    <w:rsid w:val="00EA5739"/>
    <w:rsid w:val="00EB12A7"/>
    <w:rsid w:val="00F01812"/>
    <w:rsid w:val="00F6236C"/>
    <w:rsid w:val="00FC3129"/>
    <w:rsid w:val="058A1323"/>
    <w:rsid w:val="19142976"/>
    <w:rsid w:val="20C311EB"/>
    <w:rsid w:val="367B6DC7"/>
    <w:rsid w:val="3DEB673A"/>
    <w:rsid w:val="660035B2"/>
    <w:rsid w:val="66174352"/>
    <w:rsid w:val="697D3521"/>
    <w:rsid w:val="6D7FA497"/>
    <w:rsid w:val="7B7B6EDD"/>
    <w:rsid w:val="7E7C87D6"/>
    <w:rsid w:val="7F1738B9"/>
    <w:rsid w:val="7F413951"/>
    <w:rsid w:val="7F8FCA24"/>
    <w:rsid w:val="7FFD4866"/>
    <w:rsid w:val="83DF92B7"/>
    <w:rsid w:val="A32D1F52"/>
    <w:rsid w:val="E7FFD6E0"/>
    <w:rsid w:val="FE9F9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1"/>
    <w:qFormat/>
    <w:uiPriority w:val="0"/>
    <w:rPr>
      <w:rFonts w:ascii="Abel" w:hAnsi="Abel"/>
      <w:sz w:val="26"/>
      <w:szCs w:val="26"/>
    </w:rPr>
  </w:style>
  <w:style w:type="paragraph" w:styleId="4">
    <w:name w:val="annotation text"/>
    <w:basedOn w:val="1"/>
    <w:qFormat/>
    <w:uiPriority w:val="0"/>
    <w:pPr>
      <w:jc w:val="left"/>
    </w:pPr>
    <w:rPr>
      <w:szCs w:val="20"/>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Normal (Web)"/>
    <w:basedOn w:val="1"/>
    <w:qFormat/>
    <w:uiPriority w:val="0"/>
    <w:pPr>
      <w:widowControl/>
      <w:spacing w:line="440" w:lineRule="exact"/>
      <w:ind w:firstLine="480" w:firstLineChars="200"/>
      <w:jc w:val="left"/>
    </w:pPr>
    <w:rPr>
      <w:rFonts w:eastAsia="仿宋_GB2312"/>
      <w:color w:val="000000"/>
      <w:kern w:val="0"/>
      <w:sz w:val="24"/>
    </w:rPr>
  </w:style>
  <w:style w:type="character" w:styleId="9">
    <w:name w:val="page number"/>
    <w:qFormat/>
    <w:uiPriority w:val="0"/>
  </w:style>
  <w:style w:type="paragraph" w:customStyle="1" w:styleId="10">
    <w:name w:val="_Style 10"/>
    <w:basedOn w:val="3"/>
    <w:qFormat/>
    <w:uiPriority w:val="0"/>
    <w:pPr>
      <w:shd w:val="clear" w:color="auto" w:fill="000080"/>
      <w:jc w:val="left"/>
    </w:pPr>
    <w:rPr>
      <w:rFonts w:ascii="Tahoma" w:hAnsi="Tahoma"/>
      <w:sz w:val="24"/>
      <w:szCs w:val="28"/>
    </w:rPr>
  </w:style>
  <w:style w:type="character" w:customStyle="1" w:styleId="11">
    <w:name w:val="文档结构图 字符"/>
    <w:basedOn w:val="8"/>
    <w:link w:val="3"/>
    <w:qFormat/>
    <w:uiPriority w:val="0"/>
    <w:rPr>
      <w:rFonts w:ascii="Abel" w:hAnsi="Abel" w:eastAsia="宋体" w:cs="Times New Roman"/>
      <w:kern w:val="2"/>
      <w:sz w:val="26"/>
      <w:szCs w:val="26"/>
    </w:rPr>
  </w:style>
  <w:style w:type="paragraph" w:customStyle="1" w:styleId="12">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1509</Words>
  <Characters>8604</Characters>
  <Lines>71</Lines>
  <Paragraphs>20</Paragraphs>
  <TotalTime>0</TotalTime>
  <ScaleCrop>false</ScaleCrop>
  <LinksUpToDate>false</LinksUpToDate>
  <CharactersWithSpaces>10093</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2023-05-20T17:50:00Z</dcterms:created>
  <dc:creator>Zhou He</dc:creator>
  <cp:lastModifiedBy>王雅洁</cp:lastModifiedBy>
  <dcterms:modified xsi:type="dcterms:W3CDTF">2024-12-13T10:17:32Z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02CE4FD086CA44E181A30471C884C695</vt:lpwstr>
  </property>
</Properties>
</file>