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_Toc349141685"/>
      <w:bookmarkStart w:id="1" w:name="_Toc352575134"/>
      <w:bookmarkStart w:id="2" w:name="_Toc379555456"/>
      <w:r>
        <w:rPr>
          <w:rFonts w:hint="eastAsia"/>
        </w:rPr>
        <w:t>G4D 操作风险加权资产情况表(新规)填报说明</w:t>
      </w:r>
      <w:bookmarkEnd w:id="0"/>
      <w:bookmarkEnd w:id="1"/>
      <w:bookmarkEnd w:id="2"/>
    </w:p>
    <w:p>
      <w:pPr>
        <w:spacing w:line="440" w:lineRule="exact"/>
        <w:rPr>
          <w:rFonts w:ascii="宋体" w:hAnsi="宋体"/>
          <w:b/>
          <w:bCs/>
          <w:szCs w:val="21"/>
        </w:rPr>
      </w:pPr>
    </w:p>
    <w:p>
      <w:pPr>
        <w:spacing w:line="440" w:lineRule="exact"/>
        <w:rPr>
          <w:rFonts w:ascii="宋体" w:hAnsi="宋体"/>
          <w:b/>
          <w:bCs/>
          <w:szCs w:val="21"/>
        </w:rPr>
      </w:pPr>
      <w:r>
        <w:rPr>
          <w:rFonts w:ascii="宋体" w:hAnsi="宋体"/>
          <w:b/>
          <w:bCs/>
          <w:szCs w:val="21"/>
        </w:rPr>
        <w:t>第一部分：引言</w:t>
      </w:r>
    </w:p>
    <w:p>
      <w:pPr>
        <w:spacing w:line="440" w:lineRule="exact"/>
        <w:ind w:firstLine="420" w:firstLineChars="200"/>
        <w:rPr>
          <w:rFonts w:ascii="宋体" w:hAnsi="宋体"/>
          <w:szCs w:val="21"/>
        </w:rPr>
      </w:pPr>
      <w:r>
        <w:rPr>
          <w:rFonts w:ascii="宋体" w:hAnsi="宋体"/>
          <w:szCs w:val="21"/>
        </w:rPr>
        <w:t>本报表依据</w:t>
      </w:r>
      <w:r>
        <w:rPr>
          <w:rFonts w:hint="eastAsia" w:ascii="宋体" w:hAnsi="宋体"/>
          <w:szCs w:val="21"/>
        </w:rPr>
        <w:t>《商业银行资本管理办法》（以下简称《办法》）</w:t>
      </w:r>
      <w:r>
        <w:rPr>
          <w:rFonts w:ascii="宋体" w:hAnsi="宋体"/>
          <w:szCs w:val="21"/>
        </w:rPr>
        <w:t>制定。</w:t>
      </w:r>
      <w:r>
        <w:rPr>
          <w:rFonts w:hint="eastAsia" w:ascii="宋体" w:hAnsi="宋体"/>
          <w:szCs w:val="21"/>
        </w:rPr>
        <w:t>反映</w:t>
      </w:r>
      <w:r>
        <w:rPr>
          <w:rFonts w:ascii="宋体" w:hAnsi="宋体"/>
          <w:szCs w:val="21"/>
        </w:rPr>
        <w:t>填报机构</w:t>
      </w:r>
      <w:r>
        <w:rPr>
          <w:rFonts w:hint="eastAsia" w:ascii="宋体" w:hAnsi="宋体"/>
          <w:szCs w:val="21"/>
        </w:rPr>
        <w:t>按基本指标法或标准法计算</w:t>
      </w:r>
      <w:r>
        <w:rPr>
          <w:rFonts w:ascii="宋体" w:hAnsi="宋体"/>
          <w:szCs w:val="21"/>
        </w:rPr>
        <w:t>的</w:t>
      </w:r>
      <w:r>
        <w:rPr>
          <w:rFonts w:hint="eastAsia" w:ascii="宋体" w:hAnsi="宋体"/>
          <w:szCs w:val="21"/>
        </w:rPr>
        <w:t>操作风险资本要求</w:t>
      </w:r>
      <w:r>
        <w:rPr>
          <w:rFonts w:ascii="宋体" w:hAnsi="宋体"/>
          <w:szCs w:val="21"/>
        </w:rPr>
        <w:t>情况</w:t>
      </w:r>
      <w:r>
        <w:rPr>
          <w:rFonts w:hint="eastAsia" w:ascii="宋体" w:hAnsi="宋体"/>
          <w:szCs w:val="21"/>
        </w:rPr>
        <w:t>，并计算操作风险加权资产</w:t>
      </w:r>
      <w:r>
        <w:rPr>
          <w:rFonts w:ascii="宋体" w:hAnsi="宋体"/>
          <w:szCs w:val="21"/>
        </w:rPr>
        <w:t>。</w:t>
      </w:r>
    </w:p>
    <w:p>
      <w:pPr>
        <w:spacing w:line="440" w:lineRule="exact"/>
        <w:rPr>
          <w:rFonts w:ascii="宋体" w:hAnsi="宋体"/>
          <w:b/>
          <w:bCs/>
          <w:szCs w:val="21"/>
        </w:rPr>
      </w:pPr>
      <w:r>
        <w:rPr>
          <w:rFonts w:ascii="宋体" w:hAnsi="宋体"/>
          <w:b/>
          <w:bCs/>
          <w:szCs w:val="21"/>
        </w:rPr>
        <w:t>第二部分：一般说明</w:t>
      </w:r>
    </w:p>
    <w:p>
      <w:pPr>
        <w:spacing w:line="440" w:lineRule="exact"/>
        <w:ind w:firstLine="420" w:firstLineChars="200"/>
        <w:rPr>
          <w:rFonts w:ascii="宋体" w:hAnsi="宋体"/>
          <w:szCs w:val="21"/>
        </w:rPr>
      </w:pPr>
      <w:r>
        <w:rPr>
          <w:rFonts w:ascii="宋体" w:hAnsi="宋体"/>
          <w:szCs w:val="21"/>
        </w:rPr>
        <w:t>1</w:t>
      </w:r>
      <w:r>
        <w:rPr>
          <w:rFonts w:hint="eastAsia" w:ascii="宋体" w:hAnsi="宋体"/>
          <w:szCs w:val="21"/>
        </w:rPr>
        <w:t>．</w:t>
      </w:r>
      <w:r>
        <w:rPr>
          <w:rFonts w:ascii="宋体" w:hAnsi="宋体"/>
          <w:szCs w:val="21"/>
        </w:rPr>
        <w:t>报表名称：</w:t>
      </w:r>
      <w:r>
        <w:rPr>
          <w:rFonts w:hint="eastAsia" w:ascii="宋体" w:hAnsi="宋体"/>
          <w:szCs w:val="21"/>
        </w:rPr>
        <w:t>操作风险加权资产情况</w:t>
      </w:r>
      <w:r>
        <w:rPr>
          <w:rFonts w:ascii="宋体" w:hAnsi="宋体"/>
          <w:szCs w:val="21"/>
        </w:rPr>
        <w:t>表</w:t>
      </w:r>
      <w:r>
        <w:rPr>
          <w:rFonts w:hint="eastAsia" w:ascii="宋体" w:hAnsi="宋体"/>
          <w:szCs w:val="21"/>
        </w:rPr>
        <w:t>。</w:t>
      </w:r>
    </w:p>
    <w:p>
      <w:pPr>
        <w:spacing w:line="440" w:lineRule="exact"/>
        <w:ind w:firstLine="420" w:firstLineChars="200"/>
        <w:rPr>
          <w:rFonts w:ascii="宋体" w:hAnsi="宋体"/>
          <w:szCs w:val="21"/>
        </w:rPr>
      </w:pPr>
      <w:r>
        <w:rPr>
          <w:rFonts w:ascii="宋体" w:hAnsi="宋体"/>
          <w:bCs/>
          <w:szCs w:val="21"/>
        </w:rPr>
        <w:t>2</w:t>
      </w:r>
      <w:r>
        <w:rPr>
          <w:rFonts w:hint="eastAsia" w:ascii="宋体" w:hAnsi="宋体"/>
          <w:bCs/>
          <w:szCs w:val="21"/>
        </w:rPr>
        <w:t>．</w:t>
      </w:r>
      <w:r>
        <w:rPr>
          <w:rFonts w:ascii="宋体" w:hAnsi="宋体"/>
          <w:bCs/>
          <w:szCs w:val="21"/>
        </w:rPr>
        <w:t>报表编码</w:t>
      </w:r>
      <w:r>
        <w:rPr>
          <w:rFonts w:ascii="宋体" w:hAnsi="宋体"/>
          <w:szCs w:val="21"/>
        </w:rPr>
        <w:t>：</w:t>
      </w:r>
      <w:r>
        <w:rPr>
          <w:rFonts w:hint="eastAsia" w:ascii="宋体" w:hAnsi="宋体"/>
          <w:szCs w:val="21"/>
          <w:lang w:eastAsia="zh-CN"/>
        </w:rPr>
        <w:t>金</w:t>
      </w:r>
      <w:bookmarkStart w:id="3" w:name="_GoBack"/>
      <w:bookmarkEnd w:id="3"/>
      <w:r>
        <w:rPr>
          <w:rFonts w:ascii="宋体" w:hAnsi="宋体"/>
          <w:szCs w:val="21"/>
        </w:rPr>
        <w:t>监</w:t>
      </w:r>
      <w:r>
        <w:rPr>
          <w:rFonts w:hint="eastAsia" w:ascii="宋体" w:hAnsi="宋体"/>
          <w:szCs w:val="21"/>
        </w:rPr>
        <w:t>统</w:t>
      </w:r>
      <w:r>
        <w:rPr>
          <w:rFonts w:hint="eastAsia" w:ascii="宋体" w:hAnsi="宋体"/>
          <w:szCs w:val="21"/>
          <w:lang w:val="en-US" w:eastAsia="zh-CN"/>
        </w:rPr>
        <w:t>0068</w:t>
      </w:r>
      <w:r>
        <w:rPr>
          <w:rFonts w:ascii="宋体" w:hAnsi="宋体"/>
          <w:szCs w:val="21"/>
        </w:rPr>
        <w:t>号</w:t>
      </w:r>
      <w:r>
        <w:rPr>
          <w:rFonts w:hint="eastAsia" w:ascii="宋体" w:hAnsi="宋体"/>
          <w:szCs w:val="21"/>
        </w:rPr>
        <w:t>。</w:t>
      </w:r>
    </w:p>
    <w:p>
      <w:pPr>
        <w:spacing w:line="440" w:lineRule="exact"/>
        <w:ind w:firstLine="420" w:firstLineChars="200"/>
        <w:rPr>
          <w:rFonts w:ascii="宋体" w:hAnsi="宋体"/>
          <w:szCs w:val="21"/>
        </w:rPr>
      </w:pPr>
      <w:r>
        <w:rPr>
          <w:rFonts w:hint="eastAsia" w:ascii="宋体" w:hAnsi="宋体"/>
          <w:szCs w:val="21"/>
        </w:rPr>
        <w:t>3．</w:t>
      </w:r>
      <w:r>
        <w:rPr>
          <w:rFonts w:ascii="宋体" w:hAnsi="宋体"/>
          <w:szCs w:val="21"/>
        </w:rPr>
        <w:t>填报机构：</w:t>
      </w:r>
      <w:r>
        <w:rPr>
          <w:rFonts w:hint="eastAsia" w:ascii="宋体" w:hAnsi="宋体"/>
          <w:szCs w:val="21"/>
        </w:rPr>
        <w:t>开发性金融机构和政策性银</w:t>
      </w:r>
      <w:r>
        <w:rPr>
          <w:rFonts w:ascii="宋体" w:hAnsi="宋体"/>
          <w:szCs w:val="21"/>
        </w:rPr>
        <w:t>行</w:t>
      </w:r>
      <w:r>
        <w:rPr>
          <w:rFonts w:hint="eastAsia" w:ascii="宋体" w:hAnsi="宋体"/>
          <w:szCs w:val="21"/>
        </w:rPr>
        <w:t>、大型商业银行（含邮储银行）、股份制商业银行、城市商业银行、民营银行、农村商业银行、农村合作银行、农村信用合作社、村镇银行、外资法人银行、企业集团财务公司、金融租赁公司、汽车金融公司、消费金融公司</w:t>
      </w:r>
      <w:r>
        <w:rPr>
          <w:rFonts w:ascii="宋体" w:hAnsi="宋体"/>
          <w:szCs w:val="21"/>
        </w:rPr>
        <w:t>。</w:t>
      </w:r>
      <w:r>
        <w:rPr>
          <w:rFonts w:hint="eastAsia" w:ascii="宋体" w:hAnsi="宋体"/>
          <w:szCs w:val="21"/>
        </w:rPr>
        <w:t xml:space="preserve"> </w:t>
      </w:r>
    </w:p>
    <w:p>
      <w:pPr>
        <w:spacing w:line="440" w:lineRule="exact"/>
        <w:ind w:firstLine="420" w:firstLineChars="200"/>
        <w:rPr>
          <w:rFonts w:ascii="宋体" w:hAnsi="宋体"/>
          <w:szCs w:val="21"/>
        </w:rPr>
      </w:pPr>
      <w:r>
        <w:rPr>
          <w:rFonts w:ascii="宋体" w:hAnsi="宋体"/>
          <w:szCs w:val="21"/>
        </w:rPr>
        <w:t>4</w:t>
      </w:r>
      <w:r>
        <w:rPr>
          <w:rFonts w:hint="eastAsia" w:ascii="宋体" w:hAnsi="宋体"/>
          <w:bCs/>
          <w:szCs w:val="21"/>
        </w:rPr>
        <w:t>．</w:t>
      </w:r>
      <w:r>
        <w:rPr>
          <w:rFonts w:ascii="宋体" w:hAnsi="宋体"/>
          <w:szCs w:val="21"/>
        </w:rPr>
        <w:t>报送</w:t>
      </w:r>
      <w:r>
        <w:rPr>
          <w:rFonts w:hint="eastAsia" w:ascii="宋体" w:hAnsi="宋体"/>
          <w:szCs w:val="21"/>
        </w:rPr>
        <w:t>口径、</w:t>
      </w:r>
      <w:r>
        <w:rPr>
          <w:rFonts w:ascii="宋体" w:hAnsi="宋体"/>
          <w:szCs w:val="21"/>
        </w:rPr>
        <w:t>频度</w:t>
      </w:r>
      <w:r>
        <w:rPr>
          <w:rFonts w:hint="eastAsia" w:ascii="宋体" w:hAnsi="宋体"/>
          <w:szCs w:val="21"/>
        </w:rPr>
        <w:t>及时间</w:t>
      </w:r>
      <w:r>
        <w:rPr>
          <w:rFonts w:ascii="宋体" w:hAnsi="宋体"/>
          <w:szCs w:val="21"/>
        </w:rPr>
        <w:t>：</w:t>
      </w:r>
      <w:r>
        <w:rPr>
          <w:rFonts w:hint="eastAsia" w:ascii="宋体" w:hAnsi="宋体"/>
          <w:szCs w:val="21"/>
        </w:rPr>
        <w:t>法人汇总数据（</w:t>
      </w:r>
      <w:r>
        <w:rPr>
          <w:rFonts w:ascii="宋体" w:hAnsi="宋体"/>
          <w:szCs w:val="21"/>
        </w:rPr>
        <w:t>季报</w:t>
      </w:r>
      <w:r>
        <w:rPr>
          <w:rFonts w:hint="eastAsia" w:ascii="宋体" w:hAnsi="宋体"/>
          <w:szCs w:val="21"/>
        </w:rPr>
        <w:t>）</w:t>
      </w:r>
      <w:r>
        <w:rPr>
          <w:rFonts w:ascii="宋体" w:hAnsi="宋体"/>
          <w:szCs w:val="21"/>
        </w:rPr>
        <w:t>为季后</w:t>
      </w:r>
      <w:r>
        <w:rPr>
          <w:rFonts w:hint="eastAsia" w:ascii="宋体" w:hAnsi="宋体"/>
          <w:szCs w:val="21"/>
        </w:rPr>
        <w:t>18</w:t>
      </w:r>
      <w:r>
        <w:rPr>
          <w:rFonts w:ascii="宋体" w:hAnsi="宋体"/>
          <w:szCs w:val="21"/>
        </w:rPr>
        <w:t>日</w:t>
      </w:r>
      <w:r>
        <w:rPr>
          <w:rFonts w:hint="eastAsia" w:ascii="宋体" w:hAnsi="宋体"/>
          <w:szCs w:val="21"/>
        </w:rPr>
        <w:t>内</w:t>
      </w:r>
      <w:r>
        <w:rPr>
          <w:rFonts w:ascii="宋体" w:hAnsi="宋体"/>
          <w:szCs w:val="21"/>
        </w:rPr>
        <w:t>、</w:t>
      </w:r>
      <w:r>
        <w:rPr>
          <w:rFonts w:hint="eastAsia" w:ascii="宋体" w:hAnsi="宋体"/>
          <w:szCs w:val="21"/>
        </w:rPr>
        <w:t>合并报表数据（季</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季</w:t>
      </w:r>
      <w:r>
        <w:rPr>
          <w:rFonts w:ascii="宋体" w:hAnsi="宋体"/>
          <w:szCs w:val="21"/>
        </w:rPr>
        <w:t>后</w:t>
      </w:r>
      <w:r>
        <w:rPr>
          <w:rFonts w:hint="eastAsia" w:ascii="宋体" w:hAnsi="宋体"/>
          <w:szCs w:val="21"/>
        </w:rPr>
        <w:t>40</w:t>
      </w:r>
      <w:r>
        <w:rPr>
          <w:rFonts w:ascii="宋体" w:hAnsi="宋体"/>
          <w:szCs w:val="21"/>
        </w:rPr>
        <w:t>日</w:t>
      </w:r>
      <w:r>
        <w:rPr>
          <w:rFonts w:hint="eastAsia" w:ascii="宋体" w:hAnsi="宋体"/>
          <w:szCs w:val="21"/>
        </w:rPr>
        <w:t>内</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5</w:t>
      </w:r>
      <w:r>
        <w:rPr>
          <w:rFonts w:hint="eastAsia" w:ascii="宋体" w:hAnsi="宋体"/>
          <w:bCs/>
          <w:szCs w:val="21"/>
        </w:rPr>
        <w:t>．</w:t>
      </w:r>
      <w:r>
        <w:rPr>
          <w:rFonts w:ascii="宋体" w:hAnsi="宋体"/>
          <w:szCs w:val="21"/>
        </w:rPr>
        <w:t>报送方式：以电子报表形式报送国家金融监督管理总局。</w:t>
      </w:r>
    </w:p>
    <w:p>
      <w:pPr>
        <w:spacing w:line="440" w:lineRule="exact"/>
        <w:ind w:firstLine="420" w:firstLineChars="200"/>
        <w:rPr>
          <w:rFonts w:ascii="宋体" w:hAnsi="宋体"/>
          <w:szCs w:val="21"/>
        </w:rPr>
      </w:pPr>
      <w:r>
        <w:rPr>
          <w:rFonts w:hint="eastAsia" w:ascii="宋体" w:hAnsi="宋体"/>
          <w:szCs w:val="21"/>
        </w:rPr>
        <w:t>6．</w:t>
      </w:r>
      <w:r>
        <w:rPr>
          <w:rFonts w:ascii="宋体" w:hAnsi="宋体"/>
          <w:szCs w:val="21"/>
        </w:rPr>
        <w:t>数据单位：万元，百分比。</w:t>
      </w:r>
    </w:p>
    <w:p>
      <w:pPr>
        <w:spacing w:line="440" w:lineRule="exact"/>
        <w:ind w:firstLine="420" w:firstLineChars="200"/>
        <w:rPr>
          <w:rFonts w:ascii="宋体" w:hAnsi="宋体"/>
          <w:szCs w:val="21"/>
        </w:rPr>
      </w:pPr>
      <w:r>
        <w:rPr>
          <w:rFonts w:hint="eastAsia" w:ascii="宋体" w:hAnsi="宋体"/>
          <w:szCs w:val="21"/>
        </w:rPr>
        <w:t>7．</w:t>
      </w:r>
      <w:r>
        <w:rPr>
          <w:rFonts w:ascii="宋体" w:hAnsi="宋体"/>
          <w:szCs w:val="21"/>
        </w:rPr>
        <w:t>四舍五入要求：金额保留</w:t>
      </w:r>
      <w:r>
        <w:rPr>
          <w:rFonts w:hint="eastAsia" w:ascii="宋体" w:hAnsi="宋体"/>
          <w:szCs w:val="21"/>
        </w:rPr>
        <w:t>两位小数</w:t>
      </w:r>
      <w:r>
        <w:rPr>
          <w:rFonts w:ascii="宋体" w:hAnsi="宋体"/>
          <w:szCs w:val="21"/>
        </w:rPr>
        <w:t>，百分比保留两位小数。</w:t>
      </w:r>
    </w:p>
    <w:p>
      <w:pPr>
        <w:spacing w:line="440" w:lineRule="exact"/>
        <w:ind w:firstLine="420" w:firstLineChars="200"/>
        <w:rPr>
          <w:rFonts w:ascii="宋体" w:hAnsi="宋体"/>
          <w:szCs w:val="21"/>
        </w:rPr>
      </w:pPr>
      <w:r>
        <w:rPr>
          <w:rFonts w:hint="eastAsia" w:ascii="宋体" w:hAnsi="宋体"/>
          <w:szCs w:val="21"/>
        </w:rPr>
        <w:t>8．填报币种：本表要求以本外币合计人民币数据填报。银行业金融机构将外币折算为人民币时，应按照报告期末最后一天国家外汇管理局公布的人民币兑美元、欧元、日元和港币的基准汇价进行折算。</w:t>
      </w:r>
      <w:r>
        <w:rPr>
          <w:rFonts w:ascii="宋体" w:hAnsi="宋体"/>
          <w:szCs w:val="21"/>
        </w:rPr>
        <w:t>美元、</w:t>
      </w:r>
      <w:r>
        <w:rPr>
          <w:rFonts w:hint="eastAsia" w:ascii="宋体" w:hAnsi="宋体"/>
          <w:szCs w:val="21"/>
        </w:rPr>
        <w:t>欧元、</w:t>
      </w:r>
      <w:r>
        <w:rPr>
          <w:rFonts w:ascii="宋体" w:hAnsi="宋体"/>
          <w:szCs w:val="21"/>
        </w:rPr>
        <w:t>日元</w:t>
      </w:r>
      <w:r>
        <w:rPr>
          <w:rFonts w:hint="eastAsia" w:ascii="宋体" w:hAnsi="宋体"/>
          <w:szCs w:val="21"/>
        </w:rPr>
        <w:t>和</w:t>
      </w:r>
      <w:r>
        <w:rPr>
          <w:rFonts w:ascii="宋体" w:hAnsi="宋体"/>
          <w:szCs w:val="21"/>
        </w:rPr>
        <w:t>港币等</w:t>
      </w:r>
      <w:r>
        <w:rPr>
          <w:rFonts w:hint="eastAsia" w:ascii="宋体" w:hAnsi="宋体"/>
          <w:szCs w:val="21"/>
        </w:rPr>
        <w:t>四种主要货币</w:t>
      </w:r>
      <w:r>
        <w:rPr>
          <w:rFonts w:ascii="宋体" w:hAnsi="宋体"/>
          <w:szCs w:val="21"/>
        </w:rPr>
        <w:t>以外的其他货币对人民币的</w:t>
      </w:r>
      <w:r>
        <w:rPr>
          <w:rFonts w:hint="eastAsia" w:ascii="宋体" w:hAnsi="宋体"/>
          <w:szCs w:val="21"/>
        </w:rPr>
        <w:t>折算</w:t>
      </w:r>
      <w:r>
        <w:rPr>
          <w:rFonts w:ascii="宋体" w:hAnsi="宋体"/>
          <w:szCs w:val="21"/>
        </w:rPr>
        <w:t>汇率，</w:t>
      </w:r>
      <w:r>
        <w:rPr>
          <w:rFonts w:hint="eastAsia" w:ascii="宋体" w:hAnsi="宋体"/>
          <w:szCs w:val="21"/>
        </w:rPr>
        <w:t>以报告期末最后一天</w:t>
      </w:r>
      <w:r>
        <w:rPr>
          <w:rFonts w:ascii="宋体" w:hAnsi="宋体"/>
          <w:szCs w:val="21"/>
        </w:rPr>
        <w:t>美元对人民币的基准汇率与</w:t>
      </w:r>
      <w:r>
        <w:rPr>
          <w:rFonts w:hint="eastAsia" w:ascii="宋体" w:hAnsi="宋体"/>
          <w:szCs w:val="21"/>
        </w:rPr>
        <w:t>同一天</w:t>
      </w:r>
      <w:r>
        <w:rPr>
          <w:rFonts w:ascii="宋体" w:hAnsi="宋体"/>
          <w:szCs w:val="21"/>
        </w:rPr>
        <w:t>上午9时国际外汇市场</w:t>
      </w:r>
      <w:r>
        <w:rPr>
          <w:rFonts w:hint="eastAsia" w:ascii="宋体" w:hAnsi="宋体"/>
          <w:szCs w:val="21"/>
        </w:rPr>
        <w:t>其他货币</w:t>
      </w:r>
      <w:r>
        <w:rPr>
          <w:rFonts w:ascii="宋体" w:hAnsi="宋体"/>
          <w:szCs w:val="21"/>
        </w:rPr>
        <w:t>兑美元汇率套算确定。</w:t>
      </w:r>
    </w:p>
    <w:p>
      <w:pPr>
        <w:spacing w:line="440" w:lineRule="exact"/>
        <w:rPr>
          <w:rFonts w:ascii="宋体" w:hAnsi="宋体"/>
          <w:szCs w:val="21"/>
        </w:rPr>
      </w:pPr>
      <w:r>
        <w:rPr>
          <w:rFonts w:ascii="宋体" w:hAnsi="宋体"/>
          <w:b/>
          <w:bCs/>
          <w:szCs w:val="21"/>
        </w:rPr>
        <w:t>第三部分：具体说明</w:t>
      </w:r>
    </w:p>
    <w:p>
      <w:pPr>
        <w:spacing w:line="440" w:lineRule="exact"/>
        <w:ind w:firstLine="420" w:firstLineChars="200"/>
        <w:rPr>
          <w:rFonts w:ascii="宋体" w:hAnsi="宋体"/>
          <w:szCs w:val="21"/>
        </w:rPr>
      </w:pPr>
      <w:r>
        <w:rPr>
          <w:rFonts w:hint="eastAsia" w:ascii="宋体" w:hAnsi="宋体"/>
          <w:szCs w:val="21"/>
        </w:rPr>
        <w:t>各填报机构应按照《办法》确定本行操作风险加权资产的计量方法，并填报对应计量方法下的相关数据。</w:t>
      </w:r>
    </w:p>
    <w:p>
      <w:pPr>
        <w:spacing w:line="440" w:lineRule="exact"/>
        <w:ind w:firstLine="420" w:firstLineChars="200"/>
        <w:rPr>
          <w:rFonts w:ascii="宋体" w:hAnsi="宋体"/>
          <w:szCs w:val="21"/>
        </w:rPr>
      </w:pPr>
      <w:r>
        <w:rPr>
          <w:rFonts w:hint="eastAsia" w:ascii="宋体" w:hAnsi="宋体"/>
          <w:szCs w:val="21"/>
        </w:rPr>
        <w:t>本表需要填报报送期之前三个完整的自然年度的相关指标情况，本表所指的“最近第一年”、“最近第二年”、“最近第三年”均指自然年度，即从每一年的1月1日至12月31日。</w:t>
      </w:r>
    </w:p>
    <w:p>
      <w:pPr>
        <w:spacing w:line="440" w:lineRule="exact"/>
        <w:ind w:firstLine="420" w:firstLineChars="200"/>
        <w:rPr>
          <w:rFonts w:ascii="宋体" w:hAnsi="宋体"/>
          <w:szCs w:val="21"/>
        </w:rPr>
      </w:pPr>
      <w:r>
        <w:rPr>
          <w:rFonts w:hint="eastAsia" w:ascii="宋体" w:hAnsi="宋体"/>
          <w:szCs w:val="21"/>
        </w:rPr>
        <w:t>各项目中如有损失或净收入为负，</w:t>
      </w:r>
      <w:r>
        <w:rPr>
          <w:rFonts w:ascii="宋体" w:hAnsi="宋体"/>
          <w:szCs w:val="21"/>
        </w:rPr>
        <w:t>应以“－”号填列。</w:t>
      </w:r>
    </w:p>
    <w:p>
      <w:pPr>
        <w:spacing w:line="440" w:lineRule="exact"/>
        <w:ind w:firstLine="420" w:firstLineChars="200"/>
        <w:rPr>
          <w:rFonts w:ascii="宋体" w:hAnsi="宋体"/>
          <w:szCs w:val="21"/>
        </w:rPr>
      </w:pPr>
      <w:r>
        <w:rPr>
          <w:rFonts w:hint="eastAsia" w:ascii="宋体" w:hAnsi="宋体"/>
          <w:szCs w:val="21"/>
        </w:rPr>
        <w:t>[1.操作风险资本要求计量方法]：本项目反映填报机构计量操作风险资本要求的方法。第一档商业银行应采用标准法计量操作风险资本要求。经国家金融监督管理总局或其派出机构验收通过后，可采用自身损失数据自行计算内部损失乘数；未经国家金融监督管理总局或其派出机构验收通过的，应按照相关监管规定使用监管给定的内部损失乘数。第二档商业银行、第三档商业银行应采用基本指标法计量操作风险资本要求。</w:t>
      </w:r>
    </w:p>
    <w:p>
      <w:pPr>
        <w:spacing w:line="440" w:lineRule="exact"/>
        <w:ind w:firstLine="420" w:firstLineChars="200"/>
        <w:rPr>
          <w:rFonts w:ascii="宋体" w:hAnsi="宋体"/>
          <w:szCs w:val="21"/>
        </w:rPr>
      </w:pPr>
      <w:r>
        <w:rPr>
          <w:rFonts w:hint="eastAsia" w:ascii="宋体" w:hAnsi="宋体"/>
          <w:szCs w:val="21"/>
        </w:rPr>
        <w:t>[1.1基本指标法]：本部分仅由按基本指标法计量操作风险资本要求的金融机构进行填报，反映填报机构按照基本指标法计量的操作风险资本要求。</w:t>
      </w:r>
    </w:p>
    <w:p>
      <w:pPr>
        <w:spacing w:line="440" w:lineRule="exact"/>
        <w:ind w:firstLine="420" w:firstLineChars="200"/>
        <w:rPr>
          <w:rFonts w:ascii="宋体" w:hAnsi="宋体"/>
          <w:szCs w:val="21"/>
        </w:rPr>
      </w:pPr>
      <w:r>
        <w:rPr>
          <w:rFonts w:hint="eastAsia" w:ascii="宋体" w:hAnsi="宋体"/>
          <w:szCs w:val="21"/>
        </w:rPr>
        <w:t>[1.1.1总收入]：本项目为公式，无需银行填写。反映的是填报机构按照基本指标法计量操作风险资本要求的总收入，由“净利息收入”与“净非利息收入”相加计算所得，但不包括填报机构银行账簿“以摊余成本计量”和“以公允价值计量且其变动计入其他综合收益”两类证券出售实现的损益。</w:t>
      </w:r>
    </w:p>
    <w:p>
      <w:pPr>
        <w:spacing w:line="440" w:lineRule="exact"/>
        <w:ind w:firstLine="420" w:firstLineChars="200"/>
        <w:rPr>
          <w:rFonts w:ascii="宋体" w:hAnsi="宋体"/>
          <w:szCs w:val="21"/>
        </w:rPr>
      </w:pPr>
      <w:r>
        <w:rPr>
          <w:rFonts w:hint="eastAsia" w:ascii="宋体" w:hAnsi="宋体"/>
          <w:szCs w:val="21"/>
        </w:rPr>
        <w:t>[1.1.1.1净利息收入]：反映填报机构经营性存贷款、投资、资金往来等业务取得的净利息收入。本项目以利息收入减去利息支出后的净额填列。利息收入包括：金融机构往来利息收入、贷款利息收入、债券投资利息收入和其他利息收入等。利息支出包括：金融机构往来利息支出、存款利息支出和其他借入资金利息支出等。本项目在法人口径下应等于对应年份《G04利润表》中的[1.利息净收入]。</w:t>
      </w:r>
    </w:p>
    <w:p>
      <w:pPr>
        <w:spacing w:line="440" w:lineRule="exact"/>
        <w:ind w:firstLine="420" w:firstLineChars="200"/>
        <w:rPr>
          <w:rFonts w:ascii="宋体" w:hAnsi="宋体"/>
          <w:szCs w:val="21"/>
        </w:rPr>
      </w:pPr>
      <w:r>
        <w:rPr>
          <w:rFonts w:hint="eastAsia" w:ascii="宋体" w:hAnsi="宋体"/>
          <w:szCs w:val="21"/>
        </w:rPr>
        <w:t>[1.1.1.2净非利息收入]：反映填报机构除净利息收入以外的其他业务收入。由于总收入中不扣除外包费用，因此，填报机构因提供外包服务而获得的外包费用收入应计入本项，而填报机构支付给外包供应商的外包费用在本项目中不扣减。本项目由“手续费和佣金净收入”、“净交易损益”、“证券投资净损益”和“其他营业收入”四类组成。其中，</w:t>
      </w:r>
    </w:p>
    <w:p>
      <w:pPr>
        <w:spacing w:line="440" w:lineRule="exact"/>
        <w:ind w:firstLine="420" w:firstLineChars="200"/>
        <w:rPr>
          <w:rFonts w:ascii="宋体" w:hAnsi="宋体"/>
          <w:szCs w:val="21"/>
        </w:rPr>
      </w:pPr>
      <w:r>
        <w:rPr>
          <w:rFonts w:hint="eastAsia" w:ascii="宋体" w:hAnsi="宋体"/>
          <w:szCs w:val="21"/>
        </w:rPr>
        <w:t>“手续费和佣金净收入”指填报机构办理各项业务取得的手续费及佣金收入减去所支付的手续费及佣金支出之后实现的净收入；</w:t>
      </w:r>
    </w:p>
    <w:p>
      <w:pPr>
        <w:spacing w:line="440" w:lineRule="exact"/>
        <w:ind w:firstLine="359" w:firstLineChars="171"/>
        <w:rPr>
          <w:rFonts w:ascii="宋体" w:hAnsi="宋体"/>
          <w:szCs w:val="21"/>
        </w:rPr>
      </w:pPr>
      <w:r>
        <w:rPr>
          <w:rFonts w:hint="eastAsia" w:ascii="宋体" w:hAnsi="宋体"/>
          <w:szCs w:val="21"/>
        </w:rPr>
        <w:t>“净交易损益”指填报机构进行各项交易所取得的收益或损失，包括汇兑与汇率产品损益、贵金属与其他商品交易损益、利率产品交易损益、权益衍生产品交易损益等；</w:t>
      </w:r>
    </w:p>
    <w:p>
      <w:pPr>
        <w:spacing w:line="440" w:lineRule="exact"/>
        <w:ind w:firstLine="420" w:firstLineChars="200"/>
        <w:rPr>
          <w:rFonts w:ascii="宋体" w:hAnsi="宋体"/>
          <w:szCs w:val="21"/>
        </w:rPr>
      </w:pPr>
      <w:r>
        <w:rPr>
          <w:rFonts w:hint="eastAsia" w:ascii="宋体" w:hAnsi="宋体"/>
          <w:szCs w:val="21"/>
        </w:rPr>
        <w:t>“证券投资净损益”反映填报机构进行证券投资所取得的除利息收入之外的收益或损失，但不包括填报机构银行账簿“以摊余成本计量”和“以公允价值计量且其变动计入其他综合收益”两类证券出售实现的损益；</w:t>
      </w:r>
    </w:p>
    <w:p>
      <w:pPr>
        <w:spacing w:line="440" w:lineRule="exact"/>
        <w:ind w:firstLine="420" w:firstLineChars="200"/>
        <w:rPr>
          <w:rFonts w:ascii="宋体" w:hAnsi="宋体"/>
          <w:szCs w:val="21"/>
        </w:rPr>
      </w:pPr>
      <w:r>
        <w:rPr>
          <w:rFonts w:hint="eastAsia" w:ascii="宋体" w:hAnsi="宋体"/>
          <w:szCs w:val="21"/>
        </w:rPr>
        <w:t>“其他营业收入”反映填报机构除“手续费和佣金净收入”、“净交易损益”、“证券投资净损益”外其他非利息收入，包括股利收入、投资性房地产公允价值变动等。</w:t>
      </w:r>
    </w:p>
    <w:p>
      <w:pPr>
        <w:spacing w:line="440" w:lineRule="exact"/>
        <w:ind w:firstLine="420" w:firstLineChars="200"/>
        <w:rPr>
          <w:rFonts w:ascii="宋体" w:hAnsi="宋体"/>
          <w:szCs w:val="21"/>
        </w:rPr>
      </w:pPr>
      <w:r>
        <w:rPr>
          <w:rFonts w:hint="eastAsia" w:ascii="宋体" w:hAnsi="宋体"/>
          <w:szCs w:val="21"/>
        </w:rPr>
        <w:t>[1.1.2基本指标法计量的操作风险资本要求]：本项目为公式，无需银行填写。反映的是填报机构按照基本指标法计量的操作风险监管资本要求，等于填报机构前三年中每一年的总收入与α系数（15%）乘积的算术平均数。当三年中任何一年的总收入为负时，不纳入计算范围。</w:t>
      </w:r>
    </w:p>
    <w:p>
      <w:pPr>
        <w:spacing w:line="440" w:lineRule="exact"/>
        <w:ind w:firstLine="420" w:firstLineChars="200"/>
        <w:rPr>
          <w:rFonts w:ascii="宋体" w:hAnsi="宋体"/>
          <w:szCs w:val="21"/>
        </w:rPr>
      </w:pPr>
      <w:r>
        <w:rPr>
          <w:rFonts w:hint="eastAsia" w:ascii="宋体" w:hAnsi="宋体"/>
          <w:szCs w:val="21"/>
        </w:rPr>
        <w:t>[1.2标准法]：本部分仅由按标准法计量操作风险资本要求的金融机构进行填报，反映填报机构按照标准法计量的操作风险资本要求。</w:t>
      </w:r>
    </w:p>
    <w:p>
      <w:pPr>
        <w:spacing w:line="440" w:lineRule="exact"/>
        <w:ind w:firstLine="420" w:firstLineChars="200"/>
        <w:rPr>
          <w:rFonts w:ascii="宋体" w:hAnsi="宋体"/>
          <w:szCs w:val="21"/>
        </w:rPr>
      </w:pPr>
      <w:r>
        <w:rPr>
          <w:rFonts w:hint="eastAsia" w:ascii="宋体" w:hAnsi="宋体"/>
          <w:szCs w:val="21"/>
        </w:rPr>
        <w:t>[1.2.1采用自身损失数据计算内部损失乘数的部分]：本部分反映填报机构经国家金融监督管理总局或其派出机构验收通过后，采用内部损失数据自行计算内部损失乘数的操作风险资本要求计量情况。法人口径下，填报机构经国家金融监督管理总局或其派出机构验收通过，操作风险资本要求计量在本部分填报。合并报表口径下，经国家金融监督管理总局或其派出机构验收通过的填报机构及/或附属公司，操作风险资本要求计量在本部分填报。</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.1.1</w:t>
      </w:r>
      <w:r>
        <w:rPr>
          <w:rFonts w:hint="eastAsia" w:ascii="宋体" w:hAnsi="宋体"/>
          <w:szCs w:val="21"/>
        </w:rPr>
        <w:t>业务指标部分（BIC）]：本项目为公式，无需银行填写。反映的是填报机构按照标准法计量操作风险资本要求时业务指标部分（BIC）的计算结果。业务指标部分（BIC）等于业务指标（BI）乘以对应的边际资本系数α</w:t>
      </w:r>
      <w:r>
        <w:rPr>
          <w:rFonts w:hint="eastAsia" w:ascii="宋体" w:hAnsi="宋体"/>
          <w:szCs w:val="21"/>
          <w:vertAlign w:val="subscript"/>
        </w:rPr>
        <w:t>i</w:t>
      </w:r>
      <w:r>
        <w:rPr>
          <w:rFonts w:hint="eastAsia" w:ascii="宋体" w:hAnsi="宋体"/>
          <w:szCs w:val="21"/>
        </w:rPr>
        <w:t>。</w:t>
      </w:r>
    </w:p>
    <w:p>
      <w:pPr>
        <w:spacing w:line="440" w:lineRule="exact"/>
        <w:ind w:firstLine="420" w:firstLineChars="200"/>
        <w:rPr>
          <w:rFonts w:ascii="宋体" w:hAnsi="宋体"/>
          <w:szCs w:val="21"/>
        </w:rPr>
      </w:pPr>
      <w:r>
        <w:rPr>
          <w:rFonts w:hint="eastAsia" w:ascii="宋体" w:hAnsi="宋体"/>
          <w:szCs w:val="21"/>
        </w:rPr>
        <w:t>边际资本系数根据业务指标（BI）的规模累进，业务指标80亿元人民币（含）以下的部分，边际资本系数为12%；80亿元人民币以上，2400亿元人民币（含）以下的部分，边际资本系数为15%；2400亿元人民币以上的部分，边际资本系数为18%。</w:t>
      </w:r>
    </w:p>
    <w:p>
      <w:pPr>
        <w:spacing w:line="440" w:lineRule="exact"/>
        <w:ind w:firstLine="420" w:firstLineChars="200"/>
        <w:rPr>
          <w:rFonts w:ascii="宋体" w:hAnsi="宋体"/>
          <w:szCs w:val="21"/>
        </w:rPr>
      </w:pPr>
      <w:r>
        <w:rPr>
          <w:rFonts w:hint="eastAsia" w:ascii="宋体" w:hAnsi="宋体"/>
          <w:szCs w:val="21"/>
        </w:rPr>
        <w:t>[1.2.1.1</w:t>
      </w:r>
      <w:r>
        <w:rPr>
          <w:rFonts w:ascii="宋体" w:hAnsi="宋体"/>
          <w:szCs w:val="21"/>
        </w:rPr>
        <w:t>.1</w:t>
      </w:r>
      <w:r>
        <w:rPr>
          <w:rFonts w:hint="eastAsia" w:ascii="宋体" w:hAnsi="宋体"/>
          <w:szCs w:val="21"/>
        </w:rPr>
        <w:t>利息、租赁和</w:t>
      </w:r>
      <w:r>
        <w:rPr>
          <w:rFonts w:hint="eastAsia" w:ascii="宋体" w:hAnsi="宋体"/>
          <w:szCs w:val="21"/>
          <w:lang w:eastAsia="zh-CN"/>
        </w:rPr>
        <w:t>股利</w:t>
      </w:r>
      <w:r>
        <w:rPr>
          <w:rFonts w:hint="eastAsia" w:ascii="宋体" w:hAnsi="宋体"/>
          <w:szCs w:val="21"/>
        </w:rPr>
        <w:t>部分（ILDC）]：本项目为公式，无需银行填写。反映的是填报机构利息、租赁和</w:t>
      </w:r>
      <w:r>
        <w:rPr>
          <w:rFonts w:hint="eastAsia" w:ascii="宋体" w:hAnsi="宋体"/>
          <w:szCs w:val="21"/>
          <w:lang w:eastAsia="zh-CN"/>
        </w:rPr>
        <w:t>股利</w:t>
      </w:r>
      <w:r>
        <w:rPr>
          <w:rFonts w:hint="eastAsia" w:ascii="宋体" w:hAnsi="宋体"/>
          <w:szCs w:val="21"/>
        </w:rPr>
        <w:t>部分（ILDC）的计算结果，计算公式为：</w:t>
      </w:r>
    </w:p>
    <w:p>
      <w:pPr>
        <w:spacing w:line="440" w:lineRule="exact"/>
        <w:ind w:firstLine="420" w:firstLineChars="200"/>
        <w:rPr>
          <w:rFonts w:ascii="宋体" w:hAnsi="宋体"/>
          <w:szCs w:val="21"/>
        </w:rPr>
      </w:pPr>
      <m:oMathPara>
        <m:oMath>
          <m:r>
            <m:rPr/>
            <w:rPr>
              <w:rFonts w:ascii="Cambria Math" w:hAnsi="Cambria Math"/>
              <w:szCs w:val="21"/>
            </w:rPr>
            <m:t>ILDC</m:t>
          </m:r>
          <m:r>
            <m:rPr>
              <m:sty m:val="p"/>
            </m:rPr>
            <w:rPr>
              <w:rFonts w:ascii="Cambria Math" w:hAnsi="Cambria Math"/>
              <w:szCs w:val="21"/>
            </w:rPr>
            <m:t>=</m:t>
          </m:r>
          <m:r>
            <m:rPr/>
            <w:rPr>
              <w:rFonts w:ascii="Cambria Math" w:hAnsi="Cambria Math"/>
              <w:szCs w:val="21"/>
            </w:rPr>
            <m:t>M</m:t>
          </m:r>
          <m:r>
            <m:rPr/>
            <w:rPr>
              <w:rFonts w:hint="eastAsia" w:ascii="Cambria Math" w:hAnsi="Cambria Math"/>
              <w:szCs w:val="21"/>
            </w:rPr>
            <m:t>in</m:t>
          </m:r>
          <m:d>
            <m:dPr>
              <m:ctrlPr>
                <w:rPr>
                  <w:rFonts w:ascii="Cambria Math" w:hAnsi="Cambria Math"/>
                  <w:szCs w:val="21"/>
                </w:rPr>
              </m:ctrlPr>
            </m:dPr>
            <m:e>
              <m:acc>
                <m:accPr>
                  <m:chr m:val="̅"/>
                  <m:ctrlPr>
                    <w:rPr>
                      <w:rFonts w:ascii="Cambria Math" w:hAnsi="Cambria Math"/>
                      <w:szCs w:val="21"/>
                    </w:rPr>
                  </m:ctrlPr>
                </m:accPr>
                <m:e>
                  <m:r>
                    <m:rPr/>
                    <w:rPr>
                      <w:rFonts w:ascii="Cambria Math" w:hAnsi="Cambria Math"/>
                      <w:szCs w:val="21"/>
                    </w:rPr>
                    <m:t>Abs</m:t>
                  </m:r>
                  <m:d>
                    <m:dPr>
                      <m:ctrlPr>
                        <w:rPr>
                          <w:rFonts w:ascii="Cambria Math" w:hAnsi="Cambria Math"/>
                          <w:i/>
                          <w:szCs w:val="21"/>
                        </w:rPr>
                      </m:ctrlPr>
                    </m:dPr>
                    <m:e>
                      <m:r>
                        <m:rPr>
                          <m:sty m:val="p"/>
                        </m:rPr>
                        <w:rPr>
                          <w:rFonts w:hint="eastAsia" w:ascii="Cambria Math" w:hAnsi="Cambria Math"/>
                          <w:szCs w:val="21"/>
                        </w:rPr>
                        <m:t>利息收入</m:t>
                      </m:r>
                      <m:r>
                        <m:rPr>
                          <m:sty m:val="p"/>
                        </m:rPr>
                        <w:rPr>
                          <w:rFonts w:ascii="Cambria Math" w:hAnsi="Cambria Math" w:cs="MS Gothic"/>
                          <w:szCs w:val="21"/>
                        </w:rPr>
                        <m:t>−</m:t>
                      </m:r>
                      <m:r>
                        <m:rPr>
                          <m:sty m:val="p"/>
                        </m:rPr>
                        <w:rPr>
                          <w:rFonts w:hint="eastAsia" w:ascii="Cambria Math" w:hAnsi="Cambria Math" w:cs="MS Gothic"/>
                          <w:szCs w:val="21"/>
                        </w:rPr>
                        <m:t>利息支出</m:t>
                      </m:r>
                      <m:ctrlPr>
                        <w:rPr>
                          <w:rFonts w:ascii="Cambria Math" w:hAnsi="Cambria Math"/>
                          <w:i/>
                          <w:szCs w:val="21"/>
                        </w:rPr>
                      </m:ctrlPr>
                    </m:e>
                  </m:d>
                  <m:ctrlPr>
                    <w:rPr>
                      <w:rFonts w:ascii="Cambria Math" w:hAnsi="Cambria Math"/>
                      <w:szCs w:val="21"/>
                    </w:rPr>
                  </m:ctrlPr>
                </m:e>
              </m:acc>
              <m:r>
                <m:rPr>
                  <m:sty m:val="p"/>
                </m:rPr>
                <w:rPr>
                  <w:rFonts w:hint="eastAsia" w:ascii="Cambria Math" w:hAnsi="Cambria Math"/>
                  <w:szCs w:val="21"/>
                </w:rPr>
                <m:t>，</m:t>
              </m:r>
              <m:r>
                <m:rPr>
                  <m:sty m:val="p"/>
                </m:rPr>
                <w:rPr>
                  <w:rFonts w:ascii="Cambria Math" w:hAnsi="Cambria Math"/>
                  <w:szCs w:val="21"/>
                </w:rPr>
                <m:t>2.25%</m:t>
              </m:r>
              <m:r>
                <m:rPr>
                  <m:sty m:val="p"/>
                </m:rPr>
                <w:rPr>
                  <w:rFonts w:hint="eastAsia" w:ascii="Cambria Math" w:hAnsi="Cambria Math"/>
                  <w:szCs w:val="21"/>
                </w:rPr>
                <m:t>×</m:t>
              </m:r>
              <m:acc>
                <m:accPr>
                  <m:chr m:val="̅"/>
                  <m:ctrlPr>
                    <w:rPr>
                      <w:rFonts w:ascii="Cambria Math" w:hAnsi="Cambria Math"/>
                      <w:szCs w:val="21"/>
                    </w:rPr>
                  </m:ctrlPr>
                </m:accPr>
                <m:e>
                  <m:r>
                    <m:rPr>
                      <m:sty m:val="p"/>
                    </m:rPr>
                    <w:rPr>
                      <w:rFonts w:hint="eastAsia" w:ascii="Cambria Math" w:hAnsi="Cambria Math"/>
                      <w:szCs w:val="21"/>
                    </w:rPr>
                    <m:t>生息资产</m:t>
                  </m:r>
                  <m:ctrlPr>
                    <w:rPr>
                      <w:rFonts w:ascii="Cambria Math" w:hAnsi="Cambria Math"/>
                      <w:szCs w:val="21"/>
                    </w:rPr>
                  </m:ctrlPr>
                </m:e>
              </m:acc>
              <m:ctrlPr>
                <w:rPr>
                  <w:rFonts w:ascii="Cambria Math" w:hAnsi="Cambria Math"/>
                  <w:szCs w:val="21"/>
                </w:rPr>
              </m:ctrlPr>
            </m:e>
          </m:d>
          <m:r>
            <m:rPr>
              <m:sty m:val="p"/>
            </m:rPr>
            <w:rPr>
              <w:rFonts w:ascii="Cambria Math" w:hAnsi="Cambria Math"/>
              <w:szCs w:val="21"/>
            </w:rPr>
            <m:t>+</m:t>
          </m:r>
          <m:acc>
            <m:accPr>
              <m:chr m:val="̅"/>
              <m:ctrlPr>
                <w:rPr>
                  <w:rFonts w:ascii="Cambria Math" w:hAnsi="Cambria Math"/>
                  <w:szCs w:val="21"/>
                </w:rPr>
              </m:ctrlPr>
            </m:accPr>
            <m:e>
              <m:r>
                <m:rPr>
                  <m:sty m:val="p"/>
                </m:rPr>
                <w:rPr>
                  <w:rFonts w:hint="default" w:ascii="DejaVu Math TeX Gyre" w:hAnsi="DejaVu Math TeX Gyre"/>
                  <w:szCs w:val="21"/>
                  <w:lang w:eastAsia="zh-CN"/>
                </w:rPr>
                <m:t>股利</m:t>
              </m:r>
              <m:r>
                <m:rPr>
                  <m:sty m:val="p"/>
                </m:rPr>
                <w:rPr>
                  <w:rFonts w:hint="eastAsia" w:ascii="Cambria Math" w:hAnsi="Cambria Math"/>
                  <w:szCs w:val="21"/>
                </w:rPr>
                <m:t>收入</m:t>
              </m:r>
              <m:ctrlPr>
                <w:rPr>
                  <w:rFonts w:ascii="Cambria Math" w:hAnsi="Cambria Math"/>
                  <w:szCs w:val="21"/>
                </w:rPr>
              </m:ctrlPr>
            </m:e>
          </m:acc>
        </m:oMath>
      </m:oMathPara>
    </w:p>
    <w:p>
      <w:pPr>
        <w:spacing w:line="440" w:lineRule="exact"/>
        <w:ind w:firstLine="420" w:firstLineChars="200"/>
        <w:rPr>
          <w:rFonts w:ascii="宋体" w:hAnsi="宋体"/>
          <w:szCs w:val="21"/>
        </w:rPr>
      </w:pPr>
      <w:r>
        <w:rPr>
          <w:rFonts w:hint="eastAsia" w:ascii="宋体" w:hAnsi="宋体"/>
          <w:szCs w:val="21"/>
        </w:rPr>
        <w:t>各项目上方的横线表示近三年的算术平均值。</w:t>
      </w:r>
    </w:p>
    <w:p>
      <w:pPr>
        <w:spacing w:line="440" w:lineRule="exact"/>
        <w:ind w:firstLine="420" w:firstLineChars="200"/>
        <w:rPr>
          <w:rFonts w:ascii="宋体" w:hAnsi="宋体"/>
          <w:szCs w:val="21"/>
        </w:rPr>
      </w:pPr>
      <w:r>
        <w:rPr>
          <w:rFonts w:hint="eastAsia" w:ascii="宋体" w:hAnsi="宋体"/>
          <w:szCs w:val="21"/>
        </w:rPr>
        <w:t>[1.2.1.1.</w:t>
      </w:r>
      <w:r>
        <w:rPr>
          <w:rFonts w:ascii="宋体" w:hAnsi="宋体"/>
          <w:szCs w:val="21"/>
        </w:rPr>
        <w:t>1.1</w:t>
      </w:r>
      <w:r>
        <w:rPr>
          <w:rFonts w:hint="eastAsia" w:ascii="宋体" w:hAnsi="宋体"/>
          <w:szCs w:val="21"/>
        </w:rPr>
        <w:t>利息收入]：反映填报机构所有金融资产的利息收入和其他利息收入(包括融资租赁的利息收入和经营租赁的租金收入，租赁资产的收益）。典型的子项目包括：（1）以下项目获得的利息收入：贷款和垫款、金融投资-债权投资、金融投资-其他债权投资、交易性金融资产、融资租赁；（2）套期保值衍生品的利息收入；（3）其他利息收入；（4）经营租赁的租金收入；（5）租赁资产的收益。</w:t>
      </w:r>
    </w:p>
    <w:p>
      <w:pPr>
        <w:spacing w:line="440" w:lineRule="exact"/>
        <w:ind w:firstLine="420" w:firstLineChars="200"/>
        <w:rPr>
          <w:rFonts w:ascii="宋体" w:hAnsi="宋体"/>
          <w:szCs w:val="21"/>
        </w:rPr>
      </w:pPr>
      <w:r>
        <w:rPr>
          <w:rFonts w:hint="eastAsia" w:ascii="宋体" w:hAnsi="宋体"/>
          <w:szCs w:val="21"/>
        </w:rPr>
        <w:t>[1.2.1.1.</w:t>
      </w:r>
      <w:r>
        <w:rPr>
          <w:rFonts w:ascii="宋体" w:hAnsi="宋体"/>
          <w:szCs w:val="21"/>
        </w:rPr>
        <w:t>1.2</w:t>
      </w:r>
      <w:r>
        <w:rPr>
          <w:rFonts w:hint="eastAsia" w:ascii="宋体" w:hAnsi="宋体"/>
          <w:szCs w:val="21"/>
        </w:rPr>
        <w:t>利息支出]：反映填报机构所有金融负债的利息支出和其他利息支出(包括租赁业务的利息支出，租赁资产的损失、折旧和减值)。典型的子项目包括：（1）以下项目的利息支出：存款、已发行债券、租赁业务；（2）套期保值衍生品的利息支出；（3）其他利息支出；（4）租赁资产的损失；（5）租赁资产的折旧和减值。</w:t>
      </w:r>
    </w:p>
    <w:p>
      <w:pPr>
        <w:spacing w:line="440" w:lineRule="exact"/>
        <w:ind w:firstLine="420" w:firstLineChars="200"/>
        <w:rPr>
          <w:rFonts w:ascii="宋体" w:hAnsi="宋体"/>
          <w:szCs w:val="21"/>
        </w:rPr>
      </w:pPr>
      <w:r>
        <w:rPr>
          <w:rFonts w:hint="eastAsia" w:ascii="宋体" w:hAnsi="宋体"/>
          <w:szCs w:val="21"/>
        </w:rPr>
        <w:t>[1.2.1.1.</w:t>
      </w:r>
      <w:r>
        <w:rPr>
          <w:rFonts w:ascii="宋体" w:hAnsi="宋体"/>
          <w:szCs w:val="21"/>
        </w:rPr>
        <w:t>1.3</w:t>
      </w:r>
      <w:r>
        <w:rPr>
          <w:rFonts w:hint="eastAsia" w:ascii="宋体" w:hAnsi="宋体"/>
          <w:szCs w:val="21"/>
        </w:rPr>
        <w:t>生息资产]：反映填报机构未偿还贷款和垫款、生息债券(包括政府债券)以及租赁资产年末价值的总额。</w:t>
      </w:r>
    </w:p>
    <w:p>
      <w:pPr>
        <w:spacing w:line="440" w:lineRule="exact"/>
        <w:ind w:firstLine="420" w:firstLineChars="200"/>
        <w:rPr>
          <w:rFonts w:ascii="宋体" w:hAnsi="宋体"/>
          <w:szCs w:val="21"/>
        </w:rPr>
      </w:pPr>
      <w:r>
        <w:rPr>
          <w:rFonts w:hint="eastAsia" w:ascii="宋体" w:hAnsi="宋体"/>
          <w:szCs w:val="21"/>
        </w:rPr>
        <w:t>[1.2.1.1.</w:t>
      </w:r>
      <w:r>
        <w:rPr>
          <w:rFonts w:ascii="宋体" w:hAnsi="宋体"/>
          <w:szCs w:val="21"/>
        </w:rPr>
        <w:t>1.4</w:t>
      </w:r>
      <w:r>
        <w:rPr>
          <w:rFonts w:hint="eastAsia" w:ascii="宋体" w:hAnsi="宋体"/>
          <w:szCs w:val="21"/>
        </w:rPr>
        <w:t>股利收入]：反映填报机构未纳入商业银行合并财务报表的股权、基金等投资的股息、红利收入，包括未并表子公司、联营公司和合营公司。</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1.2</w:t>
      </w:r>
      <w:r>
        <w:rPr>
          <w:rFonts w:hint="eastAsia" w:ascii="宋体" w:hAnsi="宋体"/>
          <w:szCs w:val="21"/>
        </w:rPr>
        <w:t>服务部分（S</w:t>
      </w:r>
      <w:r>
        <w:rPr>
          <w:rFonts w:ascii="宋体" w:hAnsi="宋体"/>
          <w:szCs w:val="21"/>
        </w:rPr>
        <w:t>C</w:t>
      </w:r>
      <w:r>
        <w:rPr>
          <w:rFonts w:hint="eastAsia" w:ascii="宋体" w:hAnsi="宋体"/>
          <w:szCs w:val="21"/>
        </w:rPr>
        <w:t>）]：本项目为公式，无需银行填写。反映的是填报机构服务部分（S</w:t>
      </w:r>
      <w:r>
        <w:rPr>
          <w:rFonts w:ascii="宋体" w:hAnsi="宋体"/>
          <w:szCs w:val="21"/>
        </w:rPr>
        <w:t>C</w:t>
      </w:r>
      <w:r>
        <w:rPr>
          <w:rFonts w:hint="eastAsia" w:ascii="宋体" w:hAnsi="宋体"/>
          <w:szCs w:val="21"/>
        </w:rPr>
        <w:t>）的计算结果，计算公式为：</w:t>
      </w:r>
    </w:p>
    <w:p>
      <w:pPr>
        <w:spacing w:line="440" w:lineRule="exact"/>
        <w:ind w:firstLine="420" w:firstLineChars="200"/>
        <w:rPr>
          <w:rFonts w:ascii="宋体" w:hAnsi="宋体"/>
          <w:szCs w:val="21"/>
        </w:rPr>
      </w:pPr>
      <m:oMathPara>
        <m:oMath>
          <m:r>
            <m:rPr/>
            <w:rPr>
              <w:rFonts w:ascii="Cambria Math" w:hAnsi="Cambria Math"/>
              <w:szCs w:val="21"/>
            </w:rPr>
            <m:t>SC</m:t>
          </m:r>
          <m:r>
            <m:rPr>
              <m:sty m:val="p"/>
            </m:rPr>
            <w:rPr>
              <w:rFonts w:ascii="Cambria Math" w:hAnsi="Cambria Math"/>
              <w:szCs w:val="21"/>
            </w:rPr>
            <m:t>=</m:t>
          </m:r>
          <m:r>
            <m:rPr/>
            <w:rPr>
              <w:rFonts w:ascii="Cambria Math" w:hAnsi="Cambria Math"/>
              <w:szCs w:val="21"/>
            </w:rPr>
            <m:t>M</m:t>
          </m:r>
          <m:r>
            <m:rPr/>
            <w:rPr>
              <w:rFonts w:hint="eastAsia" w:ascii="Cambria Math" w:hAnsi="Cambria Math"/>
              <w:szCs w:val="21"/>
            </w:rPr>
            <m:t>ax</m:t>
          </m:r>
          <m:r>
            <m:rPr>
              <m:sty m:val="p"/>
            </m:rPr>
            <w:rPr>
              <w:rFonts w:ascii="Cambria Math" w:hAnsi="Cambria Math"/>
              <w:szCs w:val="21"/>
            </w:rPr>
            <m:t>(</m:t>
          </m:r>
          <m:acc>
            <m:accPr>
              <m:chr m:val="̅"/>
              <m:ctrlPr>
                <w:rPr>
                  <w:rFonts w:ascii="Cambria Math" w:hAnsi="Cambria Math"/>
                  <w:szCs w:val="21"/>
                </w:rPr>
              </m:ctrlPr>
            </m:accPr>
            <m:e>
              <m:r>
                <m:rPr>
                  <m:sty m:val="p"/>
                </m:rPr>
                <w:rPr>
                  <w:rFonts w:hint="eastAsia" w:ascii="Cambria Math" w:hAnsi="Cambria Math"/>
                  <w:szCs w:val="21"/>
                </w:rPr>
                <m:t>其他经营性收入</m:t>
              </m:r>
              <m:ctrlPr>
                <w:rPr>
                  <w:rFonts w:ascii="Cambria Math" w:hAnsi="Cambria Math"/>
                  <w:szCs w:val="21"/>
                </w:rPr>
              </m:ctrlPr>
            </m:e>
          </m:acc>
          <m:r>
            <m:rPr>
              <m:sty m:val="p"/>
            </m:rPr>
            <w:rPr>
              <w:rFonts w:ascii="Cambria Math" w:hAnsi="Cambria Math"/>
              <w:szCs w:val="21"/>
            </w:rPr>
            <m:t>，</m:t>
          </m:r>
          <m:acc>
            <m:accPr>
              <m:chr m:val="̅"/>
              <m:ctrlPr>
                <w:rPr>
                  <w:rFonts w:ascii="Cambria Math" w:hAnsi="Cambria Math"/>
                  <w:szCs w:val="21"/>
                </w:rPr>
              </m:ctrlPr>
            </m:accPr>
            <m:e>
              <m:r>
                <m:rPr>
                  <m:sty m:val="p"/>
                </m:rPr>
                <w:rPr>
                  <w:rFonts w:hint="eastAsia" w:ascii="Cambria Math" w:hAnsi="Cambria Math"/>
                  <w:szCs w:val="21"/>
                </w:rPr>
                <m:t>其他经营性支出</m:t>
              </m:r>
              <m:ctrlPr>
                <w:rPr>
                  <w:rFonts w:ascii="Cambria Math" w:hAnsi="Cambria Math"/>
                  <w:szCs w:val="21"/>
                </w:rPr>
              </m:ctrlPr>
            </m:e>
          </m:acc>
          <m:r>
            <m:rPr>
              <m:sty m:val="p"/>
            </m:rPr>
            <w:rPr>
              <w:rFonts w:ascii="Cambria Math" w:hAnsi="Cambria Math"/>
              <w:szCs w:val="21"/>
            </w:rPr>
            <m:t>)+</m:t>
          </m:r>
          <m:r>
            <m:rPr/>
            <w:rPr>
              <w:rFonts w:ascii="Cambria Math" w:hAnsi="Cambria Math"/>
              <w:szCs w:val="21"/>
            </w:rPr>
            <m:t>M</m:t>
          </m:r>
          <m:r>
            <m:rPr/>
            <w:rPr>
              <w:rFonts w:hint="eastAsia" w:ascii="Cambria Math" w:hAnsi="Cambria Math"/>
              <w:szCs w:val="21"/>
            </w:rPr>
            <m:t>ax</m:t>
          </m:r>
          <m:r>
            <m:rPr>
              <m:sty m:val="p"/>
            </m:rPr>
            <w:rPr>
              <w:rFonts w:ascii="Cambria Math" w:hAnsi="Cambria Math"/>
              <w:szCs w:val="21"/>
            </w:rPr>
            <m:t>(</m:t>
          </m:r>
          <m:acc>
            <m:accPr>
              <m:chr m:val="̅"/>
              <m:ctrlPr>
                <w:rPr>
                  <w:rFonts w:ascii="Cambria Math" w:hAnsi="Cambria Math"/>
                  <w:szCs w:val="21"/>
                </w:rPr>
              </m:ctrlPr>
            </m:accPr>
            <m:e>
              <m:r>
                <m:rPr>
                  <m:sty m:val="p"/>
                </m:rPr>
                <w:rPr>
                  <w:rFonts w:hint="eastAsia" w:ascii="Cambria Math" w:hAnsi="Cambria Math"/>
                  <w:szCs w:val="21"/>
                </w:rPr>
                <m:t>手续费和佣金收入</m:t>
              </m:r>
              <m:ctrlPr>
                <w:rPr>
                  <w:rFonts w:ascii="Cambria Math" w:hAnsi="Cambria Math"/>
                  <w:szCs w:val="21"/>
                </w:rPr>
              </m:ctrlPr>
            </m:e>
          </m:acc>
          <m:r>
            <m:rPr>
              <m:sty m:val="p"/>
            </m:rPr>
            <w:rPr>
              <w:rFonts w:hint="eastAsia" w:ascii="Cambria Math" w:hAnsi="Cambria Math"/>
              <w:szCs w:val="21"/>
            </w:rPr>
            <m:t>，</m:t>
          </m:r>
          <m:acc>
            <m:accPr>
              <m:chr m:val="̅"/>
              <m:ctrlPr>
                <w:rPr>
                  <w:rFonts w:ascii="Cambria Math" w:hAnsi="Cambria Math"/>
                  <w:szCs w:val="21"/>
                </w:rPr>
              </m:ctrlPr>
            </m:accPr>
            <m:e>
              <m:r>
                <m:rPr>
                  <m:sty m:val="p"/>
                </m:rPr>
                <w:rPr>
                  <w:rFonts w:hint="eastAsia" w:ascii="Cambria Math" w:hAnsi="Cambria Math"/>
                  <w:szCs w:val="21"/>
                </w:rPr>
                <m:t>手续费和佣金支出</m:t>
              </m:r>
              <m:ctrlPr>
                <w:rPr>
                  <w:rFonts w:ascii="Cambria Math" w:hAnsi="Cambria Math"/>
                  <w:szCs w:val="21"/>
                </w:rPr>
              </m:ctrlPr>
            </m:e>
          </m:acc>
          <m:r>
            <m:rPr>
              <m:sty m:val="p"/>
            </m:rPr>
            <w:rPr>
              <w:rFonts w:ascii="Cambria Math" w:hAnsi="Cambria Math"/>
              <w:szCs w:val="21"/>
            </w:rPr>
            <m:t>)</m:t>
          </m:r>
        </m:oMath>
      </m:oMathPara>
    </w:p>
    <w:p>
      <w:pPr>
        <w:spacing w:line="440" w:lineRule="exact"/>
        <w:ind w:firstLine="420" w:firstLineChars="200"/>
        <w:rPr>
          <w:rFonts w:ascii="宋体" w:hAnsi="宋体"/>
          <w:szCs w:val="21"/>
        </w:rPr>
      </w:pPr>
      <w:r>
        <w:rPr>
          <w:rFonts w:hint="eastAsia" w:ascii="宋体" w:hAnsi="宋体"/>
          <w:szCs w:val="21"/>
        </w:rPr>
        <w:t>各项目上方的横线表示近三年的算术平均值。</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1.2</w:t>
      </w:r>
      <w:r>
        <w:rPr>
          <w:rFonts w:hint="eastAsia" w:ascii="宋体" w:hAnsi="宋体"/>
          <w:szCs w:val="21"/>
        </w:rPr>
        <w:t>.1手续费和佣金收入]：反映填报机构提供咨询和服务的收入，包括商业银行作为金融服务外包商的收入。典型的子项目包括以下项目的费用及佣金收入：证券(发行、创设、交易、执行客户指令等)；代销类（基金、保险、债券等）；清算与结算；资产管理；托管；信托交易；支付服务；结构性融资；资产证券化服务；贷款承诺和担保；外汇交易等。</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1.2</w:t>
      </w:r>
      <w:r>
        <w:rPr>
          <w:rFonts w:hint="eastAsia" w:ascii="宋体" w:hAnsi="宋体"/>
          <w:szCs w:val="21"/>
        </w:rPr>
        <w:t>.</w:t>
      </w:r>
      <w:r>
        <w:rPr>
          <w:rFonts w:ascii="宋体" w:hAnsi="宋体"/>
          <w:szCs w:val="21"/>
        </w:rPr>
        <w:t>2</w:t>
      </w:r>
      <w:r>
        <w:rPr>
          <w:rFonts w:hint="eastAsia" w:ascii="宋体" w:hAnsi="宋体"/>
          <w:szCs w:val="21"/>
        </w:rPr>
        <w:t>手续费和佣金支出]：反映填报机构获得咨询和服务的支出，包括商业银行为寻求金融服务外包所支出的费用，但不包括非金融服务项目（如物流、IT、人力资源)。典型的子项目包括以下项目的费用及佣金支出：清算与结算；托管；资产证券化服务；贷款承诺和担保；外汇交易等。</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w:t>
      </w:r>
      <w:r>
        <w:rPr>
          <w:rFonts w:hint="eastAsia" w:ascii="宋体" w:hAnsi="宋体"/>
          <w:szCs w:val="21"/>
        </w:rPr>
        <w:t>2.3其他经营性收入]：反映填报机构未被前序项目所包含的一般银行类服务收入（不包括经营租赁收入）。典型的子项目包括：投资性房地产的租金收入、分类为持有待售且不符合终止经营条件的非流动资产及处置组的收益、其他一般银行类服务收入等。</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w:t>
      </w:r>
      <w:r>
        <w:rPr>
          <w:rFonts w:hint="eastAsia" w:ascii="宋体" w:hAnsi="宋体"/>
          <w:szCs w:val="21"/>
        </w:rPr>
        <w:t>2.4其他经营性支出]：反映填报机构未被前序项目所包含的一般银行类服务支出，以及由操作风险损失事件造成的费用和损失（不包括经营租赁支出）。典型的子项目包括：分类为持有待售且不符合终止经营条件的非流动资产及处置组的损失、由操作风险损失事件造成的损失(如罚款、处罚、结算、损坏资产的重置成本)且未在以前年度计提准备金、为操作风险损失事件计提的准备金、其他一般银行类服务支出等。</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w:t>
      </w:r>
      <w:r>
        <w:rPr>
          <w:rFonts w:hint="eastAsia" w:ascii="宋体" w:hAnsi="宋体"/>
          <w:szCs w:val="21"/>
        </w:rPr>
        <w:t>3金融部分（F</w:t>
      </w:r>
      <w:r>
        <w:rPr>
          <w:rFonts w:ascii="宋体" w:hAnsi="宋体"/>
          <w:szCs w:val="21"/>
        </w:rPr>
        <w:t>C</w:t>
      </w:r>
      <w:r>
        <w:rPr>
          <w:rFonts w:hint="eastAsia" w:ascii="宋体" w:hAnsi="宋体"/>
          <w:szCs w:val="21"/>
        </w:rPr>
        <w:t>）]：本项目为公式，无需银行填写。反映的是填报机构金融部分（F</w:t>
      </w:r>
      <w:r>
        <w:rPr>
          <w:rFonts w:ascii="宋体" w:hAnsi="宋体"/>
          <w:szCs w:val="21"/>
        </w:rPr>
        <w:t>C</w:t>
      </w:r>
      <w:r>
        <w:rPr>
          <w:rFonts w:hint="eastAsia" w:ascii="宋体" w:hAnsi="宋体"/>
          <w:szCs w:val="21"/>
        </w:rPr>
        <w:t>）的计算结果，计算公式为：</w:t>
      </w:r>
    </w:p>
    <w:p>
      <w:pPr>
        <w:spacing w:line="440" w:lineRule="exact"/>
        <w:ind w:firstLine="420" w:firstLineChars="200"/>
        <w:rPr>
          <w:rFonts w:ascii="宋体" w:hAnsi="宋体"/>
          <w:szCs w:val="21"/>
        </w:rPr>
      </w:pPr>
      <m:oMathPara>
        <m:oMath>
          <m:r>
            <m:rPr/>
            <w:rPr>
              <w:rFonts w:ascii="Cambria Math" w:hAnsi="Cambria Math"/>
              <w:szCs w:val="21"/>
            </w:rPr>
            <m:t>FC</m:t>
          </m:r>
          <m:r>
            <m:rPr>
              <m:sty m:val="p"/>
            </m:rPr>
            <w:rPr>
              <w:rFonts w:ascii="Cambria Math" w:hAnsi="Cambria Math"/>
              <w:szCs w:val="21"/>
            </w:rPr>
            <m:t>=</m:t>
          </m:r>
          <m:acc>
            <m:accPr>
              <m:chr m:val="̅"/>
              <m:ctrlPr>
                <w:rPr>
                  <w:rFonts w:ascii="Cambria Math" w:hAnsi="Cambria Math"/>
                  <w:szCs w:val="21"/>
                </w:rPr>
              </m:ctrlPr>
            </m:accPr>
            <m:e>
              <m:r>
                <m:rPr/>
                <w:rPr>
                  <w:rFonts w:ascii="Cambria Math" w:hAnsi="Cambria Math"/>
                  <w:szCs w:val="21"/>
                </w:rPr>
                <m:t>Abs(</m:t>
              </m:r>
              <m:r>
                <m:rPr>
                  <m:sty m:val="p"/>
                </m:rPr>
                <w:rPr>
                  <w:rFonts w:hint="eastAsia" w:ascii="Cambria Math" w:hAnsi="Cambria Math"/>
                  <w:szCs w:val="21"/>
                </w:rPr>
                <m:t>交易账簿净损益</m:t>
              </m:r>
              <m:r>
                <m:rPr/>
                <w:rPr>
                  <w:rFonts w:ascii="Cambria Math" w:hAnsi="Cambria Math"/>
                  <w:szCs w:val="21"/>
                </w:rPr>
                <m:t>)</m:t>
              </m:r>
              <m:ctrlPr>
                <w:rPr>
                  <w:rFonts w:ascii="Cambria Math" w:hAnsi="Cambria Math"/>
                  <w:szCs w:val="21"/>
                </w:rPr>
              </m:ctrlPr>
            </m:e>
          </m:acc>
          <m:r>
            <m:rPr/>
            <w:rPr>
              <w:rFonts w:ascii="Cambria Math" w:hAnsi="Cambria Math"/>
              <w:szCs w:val="21"/>
            </w:rPr>
            <m:t>+</m:t>
          </m:r>
          <m:acc>
            <m:accPr>
              <m:chr m:val="̅"/>
              <m:ctrlPr>
                <w:rPr>
                  <w:rFonts w:ascii="Cambria Math" w:hAnsi="Cambria Math"/>
                  <w:szCs w:val="21"/>
                </w:rPr>
              </m:ctrlPr>
            </m:accPr>
            <m:e>
              <m:r>
                <m:rPr/>
                <w:rPr>
                  <w:rFonts w:ascii="Cambria Math" w:hAnsi="Cambria Math"/>
                  <w:szCs w:val="21"/>
                </w:rPr>
                <m:t>Abs(</m:t>
              </m:r>
              <m:r>
                <m:rPr>
                  <m:sty m:val="p"/>
                </m:rPr>
                <w:rPr>
                  <w:rFonts w:hint="eastAsia" w:ascii="Cambria Math" w:hAnsi="Cambria Math"/>
                  <w:szCs w:val="21"/>
                </w:rPr>
                <m:t>银行账簿净损益</m:t>
              </m:r>
              <m:r>
                <m:rPr/>
                <w:rPr>
                  <w:rFonts w:ascii="Cambria Math" w:hAnsi="Cambria Math"/>
                  <w:szCs w:val="21"/>
                </w:rPr>
                <m:t>)</m:t>
              </m:r>
              <m:ctrlPr>
                <w:rPr>
                  <w:rFonts w:ascii="Cambria Math" w:hAnsi="Cambria Math"/>
                  <w:szCs w:val="21"/>
                </w:rPr>
              </m:ctrlPr>
            </m:e>
          </m:acc>
        </m:oMath>
      </m:oMathPara>
    </w:p>
    <w:p>
      <w:pPr>
        <w:spacing w:line="440" w:lineRule="exact"/>
        <w:ind w:firstLine="420" w:firstLineChars="200"/>
        <w:rPr>
          <w:rFonts w:ascii="宋体" w:hAnsi="宋体"/>
          <w:szCs w:val="21"/>
        </w:rPr>
      </w:pPr>
      <w:r>
        <w:rPr>
          <w:rFonts w:hint="eastAsia" w:ascii="宋体" w:hAnsi="宋体"/>
          <w:szCs w:val="21"/>
        </w:rPr>
        <w:t>各项目上方的横线表示近三年的算术平均值。</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w:t>
      </w:r>
      <w:r>
        <w:rPr>
          <w:rFonts w:hint="eastAsia" w:ascii="宋体" w:hAnsi="宋体"/>
          <w:szCs w:val="21"/>
        </w:rPr>
        <w:t>3.1交易账簿净损益]：反映填报机构以交易性目的持有的金融资产和承担的金融负债(衍生品、债券、权益证券、贷款和垫款、卖空头寸、其他资产和负债)的净损益、套期保值会计的净损益、汇兑差额的净损益。</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w:t>
      </w:r>
      <w:r>
        <w:rPr>
          <w:rFonts w:hint="eastAsia" w:ascii="宋体" w:hAnsi="宋体"/>
          <w:szCs w:val="21"/>
        </w:rPr>
        <w:t>3.2银行账簿净损益]：反映填报机构以公允价值计量且其变动计入当期损益金融资产和负债的净损益、不属于以公允价值计量且其变动计入当期损益金融资产和负债的已实现收益或损失(贷款和垫款、金融投资-债权投资、金融投资-其他债权投资、以摊余成本计量的金融负债)、套期保值会计的净损益、汇兑差额的净损益。</w:t>
      </w:r>
    </w:p>
    <w:p>
      <w:pPr>
        <w:spacing w:line="440" w:lineRule="exact"/>
        <w:ind w:firstLine="420" w:firstLineChars="200"/>
        <w:rPr>
          <w:rFonts w:ascii="宋体" w:hAnsi="宋体"/>
          <w:szCs w:val="21"/>
        </w:rPr>
      </w:pPr>
      <w:r>
        <w:rPr>
          <w:rFonts w:hint="eastAsia" w:ascii="宋体" w:hAnsi="宋体"/>
          <w:szCs w:val="21"/>
        </w:rPr>
        <w:t>[1.2.1.</w:t>
      </w:r>
      <w:r>
        <w:rPr>
          <w:rFonts w:ascii="宋体" w:hAnsi="宋体"/>
          <w:szCs w:val="21"/>
        </w:rPr>
        <w:t>1.</w:t>
      </w:r>
      <w:r>
        <w:rPr>
          <w:rFonts w:hint="eastAsia" w:ascii="宋体" w:hAnsi="宋体"/>
          <w:szCs w:val="21"/>
        </w:rPr>
        <w:t>4业务指标（BI）]：本项目为公式，无需银行填写。反映的是填报机构业务指标（BI）的计算结果。业务指标（BI）为利息、租赁和</w:t>
      </w:r>
      <w:r>
        <w:rPr>
          <w:rFonts w:hint="eastAsia" w:ascii="宋体" w:hAnsi="宋体"/>
          <w:szCs w:val="21"/>
          <w:lang w:eastAsia="zh-CN"/>
        </w:rPr>
        <w:t>股利</w:t>
      </w:r>
      <w:r>
        <w:rPr>
          <w:rFonts w:hint="eastAsia" w:ascii="宋体" w:hAnsi="宋体"/>
          <w:szCs w:val="21"/>
        </w:rPr>
        <w:t>部分（ILDC）、服务部分（SC）、金融部分（FC）之和,即BI=ILDC+SC+FC。</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1.</w:t>
      </w:r>
      <w:r>
        <w:rPr>
          <w:rFonts w:hint="eastAsia" w:ascii="宋体" w:hAnsi="宋体"/>
          <w:szCs w:val="21"/>
        </w:rPr>
        <w:t>2损失部分（LC）]：本项目为公式，无需银行填写。反映的是填报机构损失部分（LC）的计算结果。损失部分（LC）等于近十年操作风险损失金额算术平均值的15倍。</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1.</w:t>
      </w:r>
      <w:r>
        <w:rPr>
          <w:rFonts w:hint="eastAsia" w:ascii="宋体" w:hAnsi="宋体"/>
          <w:szCs w:val="21"/>
        </w:rPr>
        <w:t>2.1近10年操作风险损失的算数平均值]：反映填报机构操作风险历史损失数据的相关情况。其中，“近1</w:t>
      </w:r>
      <w:r>
        <w:rPr>
          <w:rFonts w:ascii="宋体" w:hAnsi="宋体"/>
          <w:szCs w:val="21"/>
        </w:rPr>
        <w:t>0</w:t>
      </w:r>
      <w:r>
        <w:rPr>
          <w:rFonts w:hint="eastAsia" w:ascii="宋体" w:hAnsi="宋体"/>
          <w:szCs w:val="21"/>
        </w:rPr>
        <w:t>年”指报告期之前最近1</w:t>
      </w:r>
      <w:r>
        <w:rPr>
          <w:rFonts w:ascii="宋体" w:hAnsi="宋体"/>
          <w:szCs w:val="21"/>
        </w:rPr>
        <w:t>0</w:t>
      </w:r>
      <w:r>
        <w:rPr>
          <w:rFonts w:hint="eastAsia" w:ascii="宋体" w:hAnsi="宋体"/>
          <w:szCs w:val="21"/>
        </w:rPr>
        <w:t>个完整的自然年度。初次使用内部损失数据的填报机构，可根据国家金融监督管理总局或其派出机构的验收要求，按照验收通过的相应年份要求填写。</w:t>
      </w:r>
    </w:p>
    <w:p>
      <w:pPr>
        <w:spacing w:line="440" w:lineRule="exact"/>
        <w:ind w:firstLine="420" w:firstLineChars="200"/>
        <w:rPr>
          <w:rFonts w:hint="eastAsia" w:ascii="宋体" w:hAnsi="宋体"/>
          <w:szCs w:val="21"/>
        </w:rPr>
      </w:pPr>
      <w:r>
        <w:rPr>
          <w:rFonts w:hint="eastAsia" w:ascii="宋体" w:hAnsi="宋体"/>
          <w:szCs w:val="21"/>
        </w:rPr>
        <w:t>[1.2.</w:t>
      </w:r>
      <w:r>
        <w:rPr>
          <w:rFonts w:ascii="宋体" w:hAnsi="宋体"/>
          <w:szCs w:val="21"/>
        </w:rPr>
        <w:t>1.</w:t>
      </w:r>
      <w:r>
        <w:rPr>
          <w:rFonts w:hint="eastAsia" w:ascii="宋体" w:hAnsi="宋体"/>
          <w:szCs w:val="21"/>
        </w:rPr>
        <w:t>3内部损失乘数(ILM)]：本项目为公式，无需银行填写。反映的是填报机构</w:t>
      </w:r>
      <w:r>
        <w:rPr>
          <w:rFonts w:hint="eastAsia" w:ascii="宋体" w:hAnsi="宋体"/>
          <w:szCs w:val="21"/>
          <w:lang w:eastAsia="zh-CN"/>
        </w:rPr>
        <w:t>适用底线要求后</w:t>
      </w:r>
      <w:r>
        <w:rPr>
          <w:rFonts w:hint="eastAsia" w:ascii="宋体" w:hAnsi="宋体"/>
          <w:szCs w:val="21"/>
        </w:rPr>
        <w:t>内部损失乘数（ILM）的计算结果。</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1.</w:t>
      </w:r>
      <w:r>
        <w:rPr>
          <w:rFonts w:hint="eastAsia" w:ascii="宋体" w:hAnsi="宋体"/>
          <w:szCs w:val="21"/>
          <w:lang w:val="en-US" w:eastAsia="zh-CN"/>
        </w:rPr>
        <w:t>3.1自行计算的</w:t>
      </w:r>
      <w:r>
        <w:rPr>
          <w:rFonts w:hint="eastAsia" w:ascii="宋体" w:hAnsi="宋体"/>
          <w:szCs w:val="21"/>
        </w:rPr>
        <w:t>内部损失乘数]：本项目为公式，无需银行填写。反映的是填报机构内部损失乘数（ILM）的计算结果。内部损失乘数（ILM）是基于操作风险平均历史损失数据与业务指标部分的调整因子，计算公式为：</w:t>
      </w:r>
    </w:p>
    <w:p>
      <w:pPr>
        <w:spacing w:line="440" w:lineRule="exact"/>
        <w:ind w:firstLine="420" w:firstLineChars="200"/>
        <w:rPr>
          <w:rFonts w:ascii="宋体" w:hAnsi="宋体"/>
          <w:szCs w:val="21"/>
        </w:rPr>
      </w:pPr>
      <m:oMathPara>
        <m:oMath>
          <m:r>
            <m:rPr/>
            <w:rPr>
              <w:rFonts w:ascii="Cambria Math" w:hAnsi="Cambria Math"/>
              <w:szCs w:val="21"/>
            </w:rPr>
            <m:t>ILM</m:t>
          </m:r>
          <m:r>
            <m:rPr>
              <m:sty m:val="p"/>
            </m:rPr>
            <w:rPr>
              <w:rFonts w:ascii="Cambria Math" w:hAnsi="Cambria Math"/>
              <w:szCs w:val="21"/>
            </w:rPr>
            <m:t>=</m:t>
          </m:r>
          <m:r>
            <m:rPr/>
            <w:rPr>
              <w:rFonts w:ascii="Cambria Math" w:hAnsi="Cambria Math"/>
              <w:szCs w:val="21"/>
            </w:rPr>
            <m:t>Ln(exp</m:t>
          </m:r>
          <m:d>
            <m:dPr>
              <m:ctrlPr>
                <w:rPr>
                  <w:rFonts w:ascii="Cambria Math" w:hAnsi="Cambria Math"/>
                  <w:i/>
                  <w:szCs w:val="21"/>
                </w:rPr>
              </m:ctrlPr>
            </m:dPr>
            <m:e>
              <m:r>
                <m:rPr/>
                <w:rPr>
                  <w:rFonts w:ascii="Cambria Math" w:hAnsi="Cambria Math"/>
                  <w:szCs w:val="21"/>
                </w:rPr>
                <m:t>1</m:t>
              </m:r>
              <m:ctrlPr>
                <w:rPr>
                  <w:rFonts w:ascii="Cambria Math" w:hAnsi="Cambria Math"/>
                  <w:i/>
                  <w:szCs w:val="21"/>
                </w:rPr>
              </m:ctrlPr>
            </m:e>
          </m:d>
          <m:r>
            <m:rPr/>
            <w:rPr>
              <w:rFonts w:ascii="Cambria Math" w:hAnsi="Cambria Math"/>
              <w:szCs w:val="21"/>
            </w:rPr>
            <m:t>−1+(LC/BIC)^0.8)</m:t>
          </m:r>
        </m:oMath>
      </m:oMathPara>
    </w:p>
    <w:p>
      <w:pPr>
        <w:spacing w:line="440" w:lineRule="exact"/>
        <w:ind w:firstLine="420" w:firstLineChars="200"/>
        <w:rPr>
          <w:rFonts w:hint="eastAsia" w:ascii="宋体" w:hAnsi="宋体"/>
          <w:szCs w:val="21"/>
        </w:rPr>
      </w:pPr>
      <w:r>
        <w:rPr>
          <w:rFonts w:hint="eastAsia" w:ascii="宋体" w:hAnsi="宋体"/>
          <w:szCs w:val="21"/>
        </w:rPr>
        <w:t>[1.2.</w:t>
      </w:r>
      <w:r>
        <w:rPr>
          <w:rFonts w:ascii="宋体" w:hAnsi="宋体"/>
          <w:szCs w:val="21"/>
        </w:rPr>
        <w:t>1.</w:t>
      </w:r>
      <w:r>
        <w:rPr>
          <w:rFonts w:hint="eastAsia" w:ascii="宋体" w:hAnsi="宋体"/>
          <w:szCs w:val="21"/>
          <w:lang w:val="en-US" w:eastAsia="zh-CN"/>
        </w:rPr>
        <w:t>3.2底线要求</w:t>
      </w:r>
      <w:r>
        <w:rPr>
          <w:rFonts w:hint="eastAsia" w:ascii="宋体" w:hAnsi="宋体"/>
          <w:szCs w:val="21"/>
        </w:rPr>
        <w:t>]：反映填报机构</w:t>
      </w:r>
      <w:r>
        <w:rPr>
          <w:rFonts w:hint="eastAsia" w:ascii="宋体" w:hAnsi="宋体"/>
          <w:szCs w:val="21"/>
          <w:lang w:eastAsia="zh-CN"/>
        </w:rPr>
        <w:t>内部损失乘数适用的底线要求，</w:t>
      </w:r>
      <w:r>
        <w:rPr>
          <w:rFonts w:hint="eastAsia" w:ascii="宋体" w:hAnsi="宋体"/>
          <w:szCs w:val="21"/>
        </w:rPr>
        <w:t>自</w:t>
      </w:r>
      <w:r>
        <w:rPr>
          <w:rFonts w:hint="eastAsia" w:ascii="宋体" w:hAnsi="宋体"/>
          <w:szCs w:val="21"/>
          <w:lang w:eastAsia="zh-CN"/>
        </w:rPr>
        <w:t>填报机构</w:t>
      </w:r>
      <w:r>
        <w:rPr>
          <w:rFonts w:hint="eastAsia" w:ascii="宋体" w:hAnsi="宋体"/>
          <w:szCs w:val="21"/>
        </w:rPr>
        <w:t>验收通过的第一年、第二年和第三年，内部损失乘数分别应不低于0.9、0.8、0.725。</w:t>
      </w:r>
    </w:p>
    <w:p>
      <w:pPr>
        <w:spacing w:line="440" w:lineRule="exact"/>
        <w:ind w:firstLine="420" w:firstLineChars="200"/>
        <w:rPr>
          <w:rFonts w:ascii="宋体" w:hAnsi="宋体"/>
          <w:szCs w:val="21"/>
        </w:rPr>
      </w:pPr>
      <w:r>
        <w:rPr>
          <w:rFonts w:hint="eastAsia" w:ascii="宋体" w:hAnsi="宋体"/>
          <w:szCs w:val="21"/>
        </w:rPr>
        <w:t>[1.2.1.4操作风险资本要求]：本项目为公式，无需银行填写。反映的是填报机构采用自身损失数据计算内部损失乘数部分的操作风险资本要求计算结果，等于业务指标部分（BIC）和内部损失乘数（ILM）的乘积。</w:t>
      </w:r>
    </w:p>
    <w:p>
      <w:pPr>
        <w:spacing w:line="440" w:lineRule="exact"/>
        <w:ind w:firstLine="420" w:firstLineChars="200"/>
        <w:rPr>
          <w:rFonts w:ascii="宋体" w:hAnsi="宋体"/>
          <w:szCs w:val="21"/>
        </w:rPr>
      </w:pPr>
      <w:r>
        <w:rPr>
          <w:rFonts w:hint="eastAsia" w:ascii="宋体" w:hAnsi="宋体"/>
          <w:szCs w:val="21"/>
        </w:rPr>
        <w:t>[1.2.2采用给定内部损失乘数的部分]：本部分反映填报机构未经国家金融监督管理总局或其派出机构验收通过，采用给定内部损失乘数的操作风险资本要求计量情况。法人口径下，填报机构未经国家金融监督管理总局或其派出机构验收通过，操作风险资本要求计量在本部分填报。合并报表口径下，未经国家金融监督管理总局或其派出机构验收通过的填报机构及/或附属公司，操作风险资本要求计量在本部分填报。</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.2.1</w:t>
      </w:r>
      <w:r>
        <w:rPr>
          <w:rFonts w:hint="eastAsia" w:ascii="宋体" w:hAnsi="宋体"/>
          <w:szCs w:val="21"/>
        </w:rPr>
        <w:t>业务指标部分(BIC)]：本项目为公式，无需银行填写。具体说明同[1.2</w:t>
      </w:r>
      <w:r>
        <w:rPr>
          <w:rFonts w:ascii="宋体" w:hAnsi="宋体"/>
          <w:szCs w:val="21"/>
        </w:rPr>
        <w:t>.1.1</w:t>
      </w:r>
      <w:r>
        <w:rPr>
          <w:rFonts w:hint="eastAsia" w:ascii="宋体" w:hAnsi="宋体"/>
          <w:szCs w:val="21"/>
        </w:rPr>
        <w:t>业务指标部分（BIC）]。</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.1</w:t>
      </w:r>
      <w:r>
        <w:rPr>
          <w:rFonts w:ascii="宋体" w:hAnsi="宋体"/>
          <w:szCs w:val="21"/>
        </w:rPr>
        <w:t>.1</w:t>
      </w:r>
      <w:r>
        <w:rPr>
          <w:rFonts w:hint="eastAsia" w:ascii="宋体" w:hAnsi="宋体"/>
          <w:szCs w:val="21"/>
        </w:rPr>
        <w:t>利息、租赁和</w:t>
      </w:r>
      <w:r>
        <w:rPr>
          <w:rFonts w:hint="eastAsia" w:ascii="宋体" w:hAnsi="宋体"/>
          <w:szCs w:val="21"/>
          <w:lang w:eastAsia="zh-CN"/>
        </w:rPr>
        <w:t>股利</w:t>
      </w:r>
      <w:r>
        <w:rPr>
          <w:rFonts w:hint="eastAsia" w:ascii="宋体" w:hAnsi="宋体"/>
          <w:szCs w:val="21"/>
        </w:rPr>
        <w:t>部分(ILDC)]：本项目为公式，无需银行填写。具体说明同[1.2.1.1</w:t>
      </w:r>
      <w:r>
        <w:rPr>
          <w:rFonts w:ascii="宋体" w:hAnsi="宋体"/>
          <w:szCs w:val="21"/>
        </w:rPr>
        <w:t>.1</w:t>
      </w:r>
      <w:r>
        <w:rPr>
          <w:rFonts w:hint="eastAsia" w:ascii="宋体" w:hAnsi="宋体"/>
          <w:szCs w:val="21"/>
        </w:rPr>
        <w:t>利息、租赁和</w:t>
      </w:r>
      <w:r>
        <w:rPr>
          <w:rFonts w:hint="eastAsia" w:ascii="宋体" w:hAnsi="宋体"/>
          <w:szCs w:val="21"/>
          <w:lang w:eastAsia="zh-CN"/>
        </w:rPr>
        <w:t>股利</w:t>
      </w:r>
      <w:r>
        <w:rPr>
          <w:rFonts w:hint="eastAsia" w:ascii="宋体" w:hAnsi="宋体"/>
          <w:szCs w:val="21"/>
        </w:rPr>
        <w:t>部分（ILDC）]</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.1.</w:t>
      </w:r>
      <w:r>
        <w:rPr>
          <w:rFonts w:ascii="宋体" w:hAnsi="宋体"/>
          <w:szCs w:val="21"/>
        </w:rPr>
        <w:t>1.1</w:t>
      </w:r>
      <w:r>
        <w:rPr>
          <w:rFonts w:hint="eastAsia" w:ascii="宋体" w:hAnsi="宋体"/>
          <w:szCs w:val="21"/>
        </w:rPr>
        <w:t>利息收入]：具体说明同[1.2.</w:t>
      </w:r>
      <w:r>
        <w:rPr>
          <w:rFonts w:ascii="宋体" w:hAnsi="宋体"/>
          <w:szCs w:val="21"/>
        </w:rPr>
        <w:t>1</w:t>
      </w:r>
      <w:r>
        <w:rPr>
          <w:rFonts w:hint="eastAsia" w:ascii="宋体" w:hAnsi="宋体"/>
          <w:szCs w:val="21"/>
        </w:rPr>
        <w:t>.1.</w:t>
      </w:r>
      <w:r>
        <w:rPr>
          <w:rFonts w:ascii="宋体" w:hAnsi="宋体"/>
          <w:szCs w:val="21"/>
        </w:rPr>
        <w:t>1.1</w:t>
      </w:r>
      <w:r>
        <w:rPr>
          <w:rFonts w:hint="eastAsia" w:ascii="宋体" w:hAnsi="宋体"/>
          <w:szCs w:val="21"/>
        </w:rPr>
        <w:t>利息收入]。</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.1.</w:t>
      </w:r>
      <w:r>
        <w:rPr>
          <w:rFonts w:ascii="宋体" w:hAnsi="宋体"/>
          <w:szCs w:val="21"/>
        </w:rPr>
        <w:t>1.2</w:t>
      </w:r>
      <w:r>
        <w:rPr>
          <w:rFonts w:hint="eastAsia" w:ascii="宋体" w:hAnsi="宋体"/>
          <w:szCs w:val="21"/>
        </w:rPr>
        <w:t>利息支出]：具体说明同[1.2.</w:t>
      </w:r>
      <w:r>
        <w:rPr>
          <w:rFonts w:ascii="宋体" w:hAnsi="宋体"/>
          <w:szCs w:val="21"/>
        </w:rPr>
        <w:t>1</w:t>
      </w:r>
      <w:r>
        <w:rPr>
          <w:rFonts w:hint="eastAsia" w:ascii="宋体" w:hAnsi="宋体"/>
          <w:szCs w:val="21"/>
        </w:rPr>
        <w:t>.1.</w:t>
      </w:r>
      <w:r>
        <w:rPr>
          <w:rFonts w:ascii="宋体" w:hAnsi="宋体"/>
          <w:szCs w:val="21"/>
        </w:rPr>
        <w:t>1.2</w:t>
      </w:r>
      <w:r>
        <w:rPr>
          <w:rFonts w:hint="eastAsia" w:ascii="宋体" w:hAnsi="宋体"/>
          <w:szCs w:val="21"/>
        </w:rPr>
        <w:t>利息支出]。</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.1.</w:t>
      </w:r>
      <w:r>
        <w:rPr>
          <w:rFonts w:ascii="宋体" w:hAnsi="宋体"/>
          <w:szCs w:val="21"/>
        </w:rPr>
        <w:t>1.3</w:t>
      </w:r>
      <w:r>
        <w:rPr>
          <w:rFonts w:hint="eastAsia" w:ascii="宋体" w:hAnsi="宋体"/>
          <w:szCs w:val="21"/>
        </w:rPr>
        <w:t>生息资产]：具体说明同[1.2.</w:t>
      </w:r>
      <w:r>
        <w:rPr>
          <w:rFonts w:ascii="宋体" w:hAnsi="宋体"/>
          <w:szCs w:val="21"/>
        </w:rPr>
        <w:t>1</w:t>
      </w:r>
      <w:r>
        <w:rPr>
          <w:rFonts w:hint="eastAsia" w:ascii="宋体" w:hAnsi="宋体"/>
          <w:szCs w:val="21"/>
        </w:rPr>
        <w:t>.1.</w:t>
      </w:r>
      <w:r>
        <w:rPr>
          <w:rFonts w:ascii="宋体" w:hAnsi="宋体"/>
          <w:szCs w:val="21"/>
        </w:rPr>
        <w:t>1.3</w:t>
      </w:r>
      <w:r>
        <w:rPr>
          <w:rFonts w:hint="eastAsia" w:ascii="宋体" w:hAnsi="宋体"/>
          <w:szCs w:val="21"/>
        </w:rPr>
        <w:t>生息资产]。</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.1.</w:t>
      </w:r>
      <w:r>
        <w:rPr>
          <w:rFonts w:ascii="宋体" w:hAnsi="宋体"/>
          <w:szCs w:val="21"/>
        </w:rPr>
        <w:t>1.4</w:t>
      </w:r>
      <w:r>
        <w:rPr>
          <w:rFonts w:hint="eastAsia" w:ascii="宋体" w:hAnsi="宋体"/>
          <w:szCs w:val="21"/>
        </w:rPr>
        <w:t>股利收入]：具体说明同[1.2.</w:t>
      </w:r>
      <w:r>
        <w:rPr>
          <w:rFonts w:ascii="宋体" w:hAnsi="宋体"/>
          <w:szCs w:val="21"/>
        </w:rPr>
        <w:t>1</w:t>
      </w:r>
      <w:r>
        <w:rPr>
          <w:rFonts w:hint="eastAsia" w:ascii="宋体" w:hAnsi="宋体"/>
          <w:szCs w:val="21"/>
        </w:rPr>
        <w:t>.1.</w:t>
      </w:r>
      <w:r>
        <w:rPr>
          <w:rFonts w:ascii="宋体" w:hAnsi="宋体"/>
          <w:szCs w:val="21"/>
        </w:rPr>
        <w:t>1.4</w:t>
      </w:r>
      <w:r>
        <w:rPr>
          <w:rFonts w:hint="eastAsia" w:ascii="宋体" w:hAnsi="宋体"/>
          <w:szCs w:val="21"/>
        </w:rPr>
        <w:t>股利收入]。</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服务部分(SC)]：本项目为公式，无需银行填写。具体说明同[1.2.</w:t>
      </w:r>
      <w:r>
        <w:rPr>
          <w:rFonts w:ascii="宋体" w:hAnsi="宋体"/>
          <w:szCs w:val="21"/>
        </w:rPr>
        <w:t>1</w:t>
      </w:r>
      <w:r>
        <w:rPr>
          <w:rFonts w:hint="eastAsia" w:ascii="宋体" w:hAnsi="宋体"/>
          <w:szCs w:val="21"/>
        </w:rPr>
        <w:t>.</w:t>
      </w:r>
      <w:r>
        <w:rPr>
          <w:rFonts w:ascii="宋体" w:hAnsi="宋体"/>
          <w:szCs w:val="21"/>
        </w:rPr>
        <w:t>1.2</w:t>
      </w:r>
      <w:r>
        <w:rPr>
          <w:rFonts w:hint="eastAsia" w:ascii="宋体" w:hAnsi="宋体"/>
          <w:szCs w:val="21"/>
        </w:rPr>
        <w:t>服务部分(SC)]。</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.1手续费和佣金收入]：具体说明同[1.2.</w:t>
      </w:r>
      <w:r>
        <w:rPr>
          <w:rFonts w:ascii="宋体" w:hAnsi="宋体"/>
          <w:szCs w:val="21"/>
        </w:rPr>
        <w:t>1</w:t>
      </w:r>
      <w:r>
        <w:rPr>
          <w:rFonts w:hint="eastAsia" w:ascii="宋体" w:hAnsi="宋体"/>
          <w:szCs w:val="21"/>
        </w:rPr>
        <w:t>.</w:t>
      </w:r>
      <w:r>
        <w:rPr>
          <w:rFonts w:ascii="宋体" w:hAnsi="宋体"/>
          <w:szCs w:val="21"/>
        </w:rPr>
        <w:t>1.2</w:t>
      </w:r>
      <w:r>
        <w:rPr>
          <w:rFonts w:hint="eastAsia" w:ascii="宋体" w:hAnsi="宋体"/>
          <w:szCs w:val="21"/>
        </w:rPr>
        <w:t>.1手续费和佣金收入]。</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w:t>
      </w:r>
      <w:r>
        <w:rPr>
          <w:rFonts w:ascii="宋体" w:hAnsi="宋体"/>
          <w:szCs w:val="21"/>
        </w:rPr>
        <w:t>2</w:t>
      </w:r>
      <w:r>
        <w:rPr>
          <w:rFonts w:hint="eastAsia" w:ascii="宋体" w:hAnsi="宋体"/>
          <w:szCs w:val="21"/>
        </w:rPr>
        <w:t>手续费和佣金支出]：具体说明同[1.2.</w:t>
      </w:r>
      <w:r>
        <w:rPr>
          <w:rFonts w:ascii="宋体" w:hAnsi="宋体"/>
          <w:szCs w:val="21"/>
        </w:rPr>
        <w:t>1</w:t>
      </w:r>
      <w:r>
        <w:rPr>
          <w:rFonts w:hint="eastAsia" w:ascii="宋体" w:hAnsi="宋体"/>
          <w:szCs w:val="21"/>
        </w:rPr>
        <w:t>.</w:t>
      </w:r>
      <w:r>
        <w:rPr>
          <w:rFonts w:ascii="宋体" w:hAnsi="宋体"/>
          <w:szCs w:val="21"/>
        </w:rPr>
        <w:t>1.2</w:t>
      </w:r>
      <w:r>
        <w:rPr>
          <w:rFonts w:hint="eastAsia" w:ascii="宋体" w:hAnsi="宋体"/>
          <w:szCs w:val="21"/>
        </w:rPr>
        <w:t>.</w:t>
      </w:r>
      <w:r>
        <w:rPr>
          <w:rFonts w:ascii="宋体" w:hAnsi="宋体"/>
          <w:szCs w:val="21"/>
        </w:rPr>
        <w:t>2</w:t>
      </w:r>
      <w:r>
        <w:rPr>
          <w:rFonts w:hint="eastAsia" w:ascii="宋体" w:hAnsi="宋体"/>
          <w:szCs w:val="21"/>
        </w:rPr>
        <w:t>手续费和佣金支出]</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2.3其他经营性收入]：具体说明同[1.2.</w:t>
      </w:r>
      <w:r>
        <w:rPr>
          <w:rFonts w:ascii="宋体" w:hAnsi="宋体"/>
          <w:szCs w:val="21"/>
        </w:rPr>
        <w:t>1</w:t>
      </w:r>
      <w:r>
        <w:rPr>
          <w:rFonts w:hint="eastAsia" w:ascii="宋体" w:hAnsi="宋体"/>
          <w:szCs w:val="21"/>
        </w:rPr>
        <w:t>.</w:t>
      </w:r>
      <w:r>
        <w:rPr>
          <w:rFonts w:ascii="宋体" w:hAnsi="宋体"/>
          <w:szCs w:val="21"/>
        </w:rPr>
        <w:t>1.</w:t>
      </w:r>
      <w:r>
        <w:rPr>
          <w:rFonts w:hint="eastAsia" w:ascii="宋体" w:hAnsi="宋体"/>
          <w:szCs w:val="21"/>
        </w:rPr>
        <w:t>2.3其他经营性收入] 。</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2.4其他经营性支出]：具体说明同[1.2.</w:t>
      </w:r>
      <w:r>
        <w:rPr>
          <w:rFonts w:ascii="宋体" w:hAnsi="宋体"/>
          <w:szCs w:val="21"/>
        </w:rPr>
        <w:t>1</w:t>
      </w:r>
      <w:r>
        <w:rPr>
          <w:rFonts w:hint="eastAsia" w:ascii="宋体" w:hAnsi="宋体"/>
          <w:szCs w:val="21"/>
        </w:rPr>
        <w:t>.</w:t>
      </w:r>
      <w:r>
        <w:rPr>
          <w:rFonts w:ascii="宋体" w:hAnsi="宋体"/>
          <w:szCs w:val="21"/>
        </w:rPr>
        <w:t>1.</w:t>
      </w:r>
      <w:r>
        <w:rPr>
          <w:rFonts w:hint="eastAsia" w:ascii="宋体" w:hAnsi="宋体"/>
          <w:szCs w:val="21"/>
        </w:rPr>
        <w:t>2.4其他经营性支出]。</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3金融部分(FC)]：本项目为公式，无需银行填写。具体说明同[1.2.</w:t>
      </w:r>
      <w:r>
        <w:rPr>
          <w:rFonts w:ascii="宋体" w:hAnsi="宋体"/>
          <w:szCs w:val="21"/>
        </w:rPr>
        <w:t>1</w:t>
      </w:r>
      <w:r>
        <w:rPr>
          <w:rFonts w:hint="eastAsia" w:ascii="宋体" w:hAnsi="宋体"/>
          <w:szCs w:val="21"/>
        </w:rPr>
        <w:t>.</w:t>
      </w:r>
      <w:r>
        <w:rPr>
          <w:rFonts w:ascii="宋体" w:hAnsi="宋体"/>
          <w:szCs w:val="21"/>
        </w:rPr>
        <w:t>1.</w:t>
      </w:r>
      <w:r>
        <w:rPr>
          <w:rFonts w:hint="eastAsia" w:ascii="宋体" w:hAnsi="宋体"/>
          <w:szCs w:val="21"/>
        </w:rPr>
        <w:t>3金融部分(FC)]。</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3.1交易账簿净损益]：具体说明同[1.2.</w:t>
      </w:r>
      <w:r>
        <w:rPr>
          <w:rFonts w:ascii="宋体" w:hAnsi="宋体"/>
          <w:szCs w:val="21"/>
        </w:rPr>
        <w:t>1</w:t>
      </w:r>
      <w:r>
        <w:rPr>
          <w:rFonts w:hint="eastAsia" w:ascii="宋体" w:hAnsi="宋体"/>
          <w:szCs w:val="21"/>
        </w:rPr>
        <w:t>.</w:t>
      </w:r>
      <w:r>
        <w:rPr>
          <w:rFonts w:ascii="宋体" w:hAnsi="宋体"/>
          <w:szCs w:val="21"/>
        </w:rPr>
        <w:t>1.</w:t>
      </w:r>
      <w:r>
        <w:rPr>
          <w:rFonts w:hint="eastAsia" w:ascii="宋体" w:hAnsi="宋体"/>
          <w:szCs w:val="21"/>
        </w:rPr>
        <w:t>3.1交易账簿净损益]。</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3.2银行账簿净损益]：具体说明同 [1.2.</w:t>
      </w:r>
      <w:r>
        <w:rPr>
          <w:rFonts w:ascii="宋体" w:hAnsi="宋体"/>
          <w:szCs w:val="21"/>
        </w:rPr>
        <w:t>1</w:t>
      </w:r>
      <w:r>
        <w:rPr>
          <w:rFonts w:hint="eastAsia" w:ascii="宋体" w:hAnsi="宋体"/>
          <w:szCs w:val="21"/>
        </w:rPr>
        <w:t>.</w:t>
      </w:r>
      <w:r>
        <w:rPr>
          <w:rFonts w:ascii="宋体" w:hAnsi="宋体"/>
          <w:szCs w:val="21"/>
        </w:rPr>
        <w:t>1.</w:t>
      </w:r>
      <w:r>
        <w:rPr>
          <w:rFonts w:hint="eastAsia" w:ascii="宋体" w:hAnsi="宋体"/>
          <w:szCs w:val="21"/>
        </w:rPr>
        <w:t>3.2银行账簿净损益] 。</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w:t>
      </w:r>
      <w:r>
        <w:rPr>
          <w:rFonts w:ascii="宋体" w:hAnsi="宋体"/>
          <w:szCs w:val="21"/>
        </w:rPr>
        <w:t>1.4</w:t>
      </w:r>
      <w:r>
        <w:rPr>
          <w:rFonts w:hint="eastAsia" w:ascii="宋体" w:hAnsi="宋体"/>
          <w:szCs w:val="21"/>
        </w:rPr>
        <w:t>业务指标(BI)]：本项目为公式，无需银行填写。具体说明同[1.2.</w:t>
      </w:r>
      <w:r>
        <w:rPr>
          <w:rFonts w:ascii="宋体" w:hAnsi="宋体"/>
          <w:szCs w:val="21"/>
        </w:rPr>
        <w:t>1</w:t>
      </w:r>
      <w:r>
        <w:rPr>
          <w:rFonts w:hint="eastAsia" w:ascii="宋体" w:hAnsi="宋体"/>
          <w:szCs w:val="21"/>
        </w:rPr>
        <w:t>.</w:t>
      </w:r>
      <w:r>
        <w:rPr>
          <w:rFonts w:ascii="宋体" w:hAnsi="宋体"/>
          <w:szCs w:val="21"/>
        </w:rPr>
        <w:t>1.4</w:t>
      </w:r>
      <w:r>
        <w:rPr>
          <w:rFonts w:hint="eastAsia" w:ascii="宋体" w:hAnsi="宋体"/>
          <w:szCs w:val="21"/>
        </w:rPr>
        <w:t>业务指标(BI)]</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3内部损失乘数(ILM)]：对于未经国家金融监督管理总局或其派出机构验收通过、不采用自身损失数据自行计算内部损失乘数的机构，应使用1作为内部损失乘数（ILM）。</w:t>
      </w:r>
    </w:p>
    <w:p>
      <w:pPr>
        <w:spacing w:line="440" w:lineRule="exact"/>
        <w:ind w:firstLine="420" w:firstLineChars="200"/>
        <w:rPr>
          <w:rFonts w:ascii="宋体" w:hAnsi="宋体"/>
          <w:szCs w:val="21"/>
        </w:rPr>
      </w:pPr>
      <w:r>
        <w:rPr>
          <w:rFonts w:hint="eastAsia" w:ascii="宋体" w:hAnsi="宋体"/>
          <w:szCs w:val="21"/>
        </w:rPr>
        <w:t>国家金融监督管理总局或其派出机构可根据机构的实际损失情况，要求其使用大于1的内部损失乘数。如果按照要求，机构应适用大于1的内部损失乘数，需将给定的大于1的内部损失乘数填入本项目。</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2</w:t>
      </w:r>
      <w:r>
        <w:rPr>
          <w:rFonts w:hint="eastAsia" w:ascii="宋体" w:hAnsi="宋体"/>
          <w:szCs w:val="21"/>
        </w:rPr>
        <w:t>.4操作风险资本要求]：本项目为公式，无需银行填写。反映的是填报机构采用给定内部损失乘数部分的操作风险资本要求计算结果，等于业务指标部分（BIC）和内部损失乘数（ILM）的乘积。</w:t>
      </w:r>
    </w:p>
    <w:p>
      <w:pPr>
        <w:spacing w:line="440" w:lineRule="exact"/>
        <w:ind w:firstLine="420" w:firstLineChars="200"/>
        <w:rPr>
          <w:rFonts w:ascii="宋体" w:hAnsi="宋体"/>
          <w:szCs w:val="21"/>
        </w:rPr>
      </w:pPr>
      <w:r>
        <w:rPr>
          <w:rFonts w:hint="eastAsia" w:ascii="宋体" w:hAnsi="宋体"/>
          <w:szCs w:val="21"/>
        </w:rPr>
        <w:t>[1.2.</w:t>
      </w:r>
      <w:r>
        <w:rPr>
          <w:rFonts w:ascii="宋体" w:hAnsi="宋体"/>
          <w:szCs w:val="21"/>
        </w:rPr>
        <w:t>3</w:t>
      </w:r>
      <w:r>
        <w:rPr>
          <w:rFonts w:hint="eastAsia" w:ascii="宋体" w:hAnsi="宋体"/>
          <w:szCs w:val="21"/>
        </w:rPr>
        <w:t>标准法计量的操作风险资本要求]：本项目为公式，无需银行填写。反映的是填报机构按照标准法计量操作风险资本要求的计算结果。按标准法计量的操作风险资本要求，等于采用自身损失数据计算内部损失乘数部分的操作风险资本要求与采用给定内部损失乘数部分的操作风险资本要求之和。</w:t>
      </w:r>
    </w:p>
    <w:p>
      <w:pPr>
        <w:spacing w:line="440" w:lineRule="exact"/>
        <w:ind w:firstLine="420" w:firstLineChars="200"/>
        <w:rPr>
          <w:rFonts w:ascii="宋体" w:hAnsi="宋体"/>
          <w:szCs w:val="21"/>
        </w:rPr>
      </w:pPr>
      <w:r>
        <w:rPr>
          <w:rFonts w:hint="eastAsia" w:ascii="宋体" w:hAnsi="宋体"/>
          <w:szCs w:val="21"/>
        </w:rPr>
        <w:t>[2.操作风险资本要求]：本项目为公式，无需银行填写。反映的是填报机构按照监管要求对操作风险单独计提的资本要求。由于填报机构只能采用基本指标法或标准法中的一种，因此本项目取填报机构采用的计量方法下对应求出的操作风险资本要求的数值。</w:t>
      </w:r>
    </w:p>
    <w:p>
      <w:pPr>
        <w:spacing w:line="440" w:lineRule="exact"/>
        <w:ind w:firstLine="420" w:firstLineChars="200"/>
        <w:rPr>
          <w:rFonts w:ascii="宋体" w:hAnsi="宋体"/>
          <w:szCs w:val="21"/>
        </w:rPr>
      </w:pPr>
      <w:r>
        <w:rPr>
          <w:rFonts w:hint="eastAsia" w:ascii="宋体" w:hAnsi="宋体"/>
          <w:szCs w:val="21"/>
        </w:rPr>
        <w:t>[3.操作风险加权资产]：本项目为公式，无需银行填写。反映的是填报机构计入资本充足率计算的操作风险加权资产，等于操作风险资本要求乘以12.5。</w:t>
      </w:r>
    </w:p>
    <w:p>
      <w:pPr>
        <w:spacing w:line="440" w:lineRule="exact"/>
        <w:ind w:firstLine="420" w:firstLineChars="200"/>
        <w:rPr>
          <w:rFonts w:ascii="宋体" w:hAnsi="宋体"/>
          <w:szCs w:val="21"/>
        </w:rPr>
      </w:pPr>
      <w:r>
        <w:rPr>
          <w:rFonts w:hint="eastAsia" w:ascii="宋体" w:hAnsi="宋体"/>
          <w:szCs w:val="21"/>
        </w:rPr>
        <w:t>[A]最近第一年:指报告期之前最近的第一个完整的自然年度。</w:t>
      </w:r>
    </w:p>
    <w:p>
      <w:pPr>
        <w:spacing w:line="440" w:lineRule="exact"/>
        <w:ind w:firstLine="420" w:firstLineChars="200"/>
        <w:rPr>
          <w:rFonts w:ascii="宋体" w:hAnsi="宋体"/>
          <w:szCs w:val="21"/>
        </w:rPr>
      </w:pPr>
      <w:r>
        <w:rPr>
          <w:rFonts w:hint="eastAsia" w:ascii="宋体" w:hAnsi="宋体"/>
          <w:szCs w:val="21"/>
        </w:rPr>
        <w:t>[B]最近第二年:指报告期之前最近的第二个完整的自然年度。</w:t>
      </w:r>
    </w:p>
    <w:p>
      <w:pPr>
        <w:spacing w:line="440" w:lineRule="exact"/>
        <w:ind w:firstLine="420" w:firstLineChars="200"/>
        <w:rPr>
          <w:rFonts w:ascii="宋体" w:hAnsi="宋体"/>
          <w:szCs w:val="21"/>
        </w:rPr>
      </w:pPr>
      <w:r>
        <w:rPr>
          <w:rFonts w:hint="eastAsia" w:ascii="宋体" w:hAnsi="宋体"/>
          <w:szCs w:val="21"/>
        </w:rPr>
        <w:t>[C]最近第三年:指报告期之前最近的第三个完整的自然年度。</w:t>
      </w:r>
    </w:p>
    <w:p>
      <w:pPr>
        <w:spacing w:line="440" w:lineRule="exact"/>
        <w:ind w:firstLine="420" w:firstLineChars="200"/>
        <w:rPr>
          <w:rFonts w:ascii="宋体" w:hAnsi="宋体"/>
          <w:szCs w:val="21"/>
        </w:rPr>
      </w:pPr>
      <w:r>
        <w:rPr>
          <w:rFonts w:hint="eastAsia" w:ascii="宋体" w:hAnsi="宋体"/>
          <w:szCs w:val="21"/>
        </w:rPr>
        <w:t>如填报机构在“最近第一年”、“最近第二年”、“最近第三年”中某一年的营业时间超过3个月且不足一年，则该年的各项收入应根据审慎原则进行折年计算；如当年营业时间不足3个月，则当年总收入不计入。</w:t>
      </w:r>
    </w:p>
    <w:p>
      <w:pPr>
        <w:spacing w:line="440" w:lineRule="exact"/>
        <w:ind w:firstLine="420" w:firstLineChars="200"/>
        <w:rPr>
          <w:rFonts w:ascii="宋体" w:hAnsi="宋体"/>
          <w:szCs w:val="21"/>
        </w:rPr>
      </w:pPr>
      <w:r>
        <w:rPr>
          <w:rFonts w:hint="eastAsia" w:ascii="宋体" w:hAnsi="宋体"/>
          <w:szCs w:val="21"/>
        </w:rPr>
        <w:t>例1：如报送期为20</w:t>
      </w:r>
      <w:r>
        <w:rPr>
          <w:rFonts w:ascii="宋体" w:hAnsi="宋体"/>
          <w:szCs w:val="21"/>
        </w:rPr>
        <w:t>23</w:t>
      </w:r>
      <w:r>
        <w:rPr>
          <w:rFonts w:hint="eastAsia" w:ascii="宋体" w:hAnsi="宋体"/>
          <w:szCs w:val="21"/>
        </w:rPr>
        <w:t>年3月31日（或6月30日、或9月30日），则“[A]最近第一年”指的是20</w:t>
      </w:r>
      <w:r>
        <w:rPr>
          <w:rFonts w:ascii="宋体" w:hAnsi="宋体"/>
          <w:szCs w:val="21"/>
        </w:rPr>
        <w:t>22</w:t>
      </w:r>
      <w:r>
        <w:rPr>
          <w:rFonts w:hint="eastAsia" w:ascii="宋体" w:hAnsi="宋体"/>
          <w:szCs w:val="21"/>
        </w:rPr>
        <w:t>年，“[B]最近第二年”指的是20</w:t>
      </w:r>
      <w:r>
        <w:rPr>
          <w:rFonts w:ascii="宋体" w:hAnsi="宋体"/>
          <w:szCs w:val="21"/>
        </w:rPr>
        <w:t>21</w:t>
      </w:r>
      <w:r>
        <w:rPr>
          <w:rFonts w:hint="eastAsia" w:ascii="宋体" w:hAnsi="宋体"/>
          <w:szCs w:val="21"/>
        </w:rPr>
        <w:t>年，“[C]最近第三年”指的是20</w:t>
      </w:r>
      <w:r>
        <w:rPr>
          <w:rFonts w:ascii="宋体" w:hAnsi="宋体"/>
          <w:szCs w:val="21"/>
        </w:rPr>
        <w:t>20</w:t>
      </w:r>
      <w:r>
        <w:rPr>
          <w:rFonts w:hint="eastAsia" w:ascii="宋体" w:hAnsi="宋体"/>
          <w:szCs w:val="21"/>
        </w:rPr>
        <w:t>年。如报送期为20</w:t>
      </w:r>
      <w:r>
        <w:rPr>
          <w:rFonts w:ascii="宋体" w:hAnsi="宋体"/>
          <w:szCs w:val="21"/>
        </w:rPr>
        <w:t>23</w:t>
      </w:r>
      <w:r>
        <w:rPr>
          <w:rFonts w:hint="eastAsia" w:ascii="宋体" w:hAnsi="宋体"/>
          <w:szCs w:val="21"/>
        </w:rPr>
        <w:t>年12月31日，则“[A]最近第一年”指的是20</w:t>
      </w:r>
      <w:r>
        <w:rPr>
          <w:rFonts w:ascii="宋体" w:hAnsi="宋体"/>
          <w:szCs w:val="21"/>
        </w:rPr>
        <w:t>23</w:t>
      </w:r>
      <w:r>
        <w:rPr>
          <w:rFonts w:hint="eastAsia" w:ascii="宋体" w:hAnsi="宋体"/>
          <w:szCs w:val="21"/>
        </w:rPr>
        <w:t>年，“[B]最近第二年”指的是20</w:t>
      </w:r>
      <w:r>
        <w:rPr>
          <w:rFonts w:ascii="宋体" w:hAnsi="宋体"/>
          <w:szCs w:val="21"/>
        </w:rPr>
        <w:t>22</w:t>
      </w:r>
      <w:r>
        <w:rPr>
          <w:rFonts w:hint="eastAsia" w:ascii="宋体" w:hAnsi="宋体"/>
          <w:szCs w:val="21"/>
        </w:rPr>
        <w:t>年，“[C]最近第三年”指的是20</w:t>
      </w:r>
      <w:r>
        <w:rPr>
          <w:rFonts w:ascii="宋体" w:hAnsi="宋体"/>
          <w:szCs w:val="21"/>
        </w:rPr>
        <w:t>21</w:t>
      </w:r>
      <w:r>
        <w:rPr>
          <w:rFonts w:hint="eastAsia" w:ascii="宋体" w:hAnsi="宋体"/>
          <w:szCs w:val="21"/>
        </w:rPr>
        <w:t>年。</w:t>
      </w:r>
    </w:p>
    <w:p>
      <w:pPr>
        <w:spacing w:line="440" w:lineRule="exact"/>
        <w:ind w:firstLine="420" w:firstLineChars="200"/>
        <w:rPr>
          <w:rFonts w:ascii="宋体" w:hAnsi="宋体"/>
          <w:szCs w:val="21"/>
        </w:rPr>
      </w:pPr>
      <w:r>
        <w:rPr>
          <w:rFonts w:hint="eastAsia" w:ascii="宋体" w:hAnsi="宋体"/>
          <w:szCs w:val="21"/>
        </w:rPr>
        <w:t>例2：如某金融机构于20</w:t>
      </w:r>
      <w:r>
        <w:rPr>
          <w:rFonts w:ascii="宋体" w:hAnsi="宋体"/>
          <w:szCs w:val="21"/>
        </w:rPr>
        <w:t>20</w:t>
      </w:r>
      <w:r>
        <w:rPr>
          <w:rFonts w:hint="eastAsia" w:ascii="宋体" w:hAnsi="宋体"/>
          <w:szCs w:val="21"/>
        </w:rPr>
        <w:t>年8月1日开始营业，则该机构在报送20</w:t>
      </w:r>
      <w:r>
        <w:rPr>
          <w:rFonts w:ascii="宋体" w:hAnsi="宋体"/>
          <w:szCs w:val="21"/>
        </w:rPr>
        <w:t>20</w:t>
      </w:r>
      <w:r>
        <w:rPr>
          <w:rFonts w:hint="eastAsia" w:ascii="宋体" w:hAnsi="宋体"/>
          <w:szCs w:val="21"/>
        </w:rPr>
        <w:t>年3季度报表时，各年总收入均为0。在报送20</w:t>
      </w:r>
      <w:r>
        <w:rPr>
          <w:rFonts w:ascii="宋体" w:hAnsi="宋体"/>
          <w:szCs w:val="21"/>
        </w:rPr>
        <w:t>20</w:t>
      </w:r>
      <w:r>
        <w:rPr>
          <w:rFonts w:hint="eastAsia" w:ascii="宋体" w:hAnsi="宋体"/>
          <w:szCs w:val="21"/>
        </w:rPr>
        <w:t>年4季度（含）之后的各期本表时，由于20</w:t>
      </w:r>
      <w:r>
        <w:rPr>
          <w:rFonts w:ascii="宋体" w:hAnsi="宋体"/>
          <w:szCs w:val="21"/>
        </w:rPr>
        <w:t>20</w:t>
      </w:r>
      <w:r>
        <w:rPr>
          <w:rFonts w:hint="eastAsia" w:ascii="宋体" w:hAnsi="宋体"/>
          <w:szCs w:val="21"/>
        </w:rPr>
        <w:t>年8月1日至20</w:t>
      </w:r>
      <w:r>
        <w:rPr>
          <w:rFonts w:ascii="宋体" w:hAnsi="宋体"/>
          <w:szCs w:val="21"/>
        </w:rPr>
        <w:t>20</w:t>
      </w:r>
      <w:r>
        <w:rPr>
          <w:rFonts w:hint="eastAsia" w:ascii="宋体" w:hAnsi="宋体"/>
          <w:szCs w:val="21"/>
        </w:rPr>
        <w:t>年12月31日不满一个自然年度，则20</w:t>
      </w:r>
      <w:r>
        <w:rPr>
          <w:rFonts w:ascii="宋体" w:hAnsi="宋体"/>
          <w:szCs w:val="21"/>
        </w:rPr>
        <w:t>20</w:t>
      </w:r>
      <w:r>
        <w:rPr>
          <w:rFonts w:hint="eastAsia" w:ascii="宋体" w:hAnsi="宋体"/>
          <w:szCs w:val="21"/>
        </w:rPr>
        <w:t>年的各项收入需按照审慎原则进行折年计算。</w:t>
      </w:r>
    </w:p>
    <w:p>
      <w:pPr>
        <w:spacing w:line="440" w:lineRule="exact"/>
        <w:ind w:firstLine="420" w:firstLineChars="200"/>
        <w:rPr>
          <w:rFonts w:ascii="宋体" w:hAnsi="宋体"/>
          <w:szCs w:val="21"/>
        </w:rPr>
      </w:pPr>
      <w:r>
        <w:rPr>
          <w:rFonts w:hint="eastAsia" w:ascii="宋体" w:hAnsi="宋体"/>
          <w:szCs w:val="21"/>
        </w:rPr>
        <w:t>例3：如某金融机构于20</w:t>
      </w:r>
      <w:r>
        <w:rPr>
          <w:rFonts w:ascii="宋体" w:hAnsi="宋体"/>
          <w:szCs w:val="21"/>
        </w:rPr>
        <w:t>20</w:t>
      </w:r>
      <w:r>
        <w:rPr>
          <w:rFonts w:hint="eastAsia" w:ascii="宋体" w:hAnsi="宋体"/>
          <w:szCs w:val="21"/>
        </w:rPr>
        <w:t>年11月1日开始营业，则当年总收入不计入报表，即：该机构在报送20</w:t>
      </w:r>
      <w:r>
        <w:rPr>
          <w:rFonts w:ascii="宋体" w:hAnsi="宋体"/>
          <w:szCs w:val="21"/>
        </w:rPr>
        <w:t>20</w:t>
      </w:r>
      <w:r>
        <w:rPr>
          <w:rFonts w:hint="eastAsia" w:ascii="宋体" w:hAnsi="宋体"/>
          <w:szCs w:val="21"/>
        </w:rPr>
        <w:t>年4季度报表时，各年总收入均为0。</w:t>
      </w:r>
    </w:p>
    <w:p>
      <w:pPr>
        <w:spacing w:line="440" w:lineRule="exact"/>
        <w:ind w:firstLine="420" w:firstLineChars="200"/>
        <w:rPr>
          <w:rFonts w:ascii="宋体" w:hAnsi="宋体"/>
          <w:szCs w:val="21"/>
        </w:rPr>
      </w:pPr>
      <w:r>
        <w:rPr>
          <w:rFonts w:hint="eastAsia" w:ascii="宋体" w:hAnsi="宋体"/>
          <w:szCs w:val="21"/>
        </w:rPr>
        <w:t>[D]α系数：α为固定系数，使用基本指标法计算操作风险资本要求时采用α系数。</w:t>
      </w:r>
    </w:p>
    <w:p>
      <w:pPr>
        <w:spacing w:line="440" w:lineRule="exact"/>
        <w:rPr>
          <w:rFonts w:ascii="宋体" w:hAnsi="宋体"/>
          <w:szCs w:val="21"/>
        </w:rPr>
      </w:pPr>
      <w:r>
        <w:rPr>
          <w:rFonts w:hint="eastAsia" w:ascii="宋体" w:hAnsi="宋体"/>
          <w:b/>
          <w:szCs w:val="21"/>
        </w:rPr>
        <w:t>附注项目（仅5家国有大型银行填报）</w:t>
      </w:r>
      <w:r>
        <w:rPr>
          <w:rFonts w:hint="eastAsia" w:ascii="宋体" w:hAnsi="宋体"/>
          <w:szCs w:val="21"/>
        </w:rPr>
        <w:t>：</w:t>
      </w:r>
    </w:p>
    <w:p>
      <w:pPr>
        <w:spacing w:line="440" w:lineRule="exact"/>
        <w:rPr>
          <w:rFonts w:ascii="宋体" w:hAnsi="宋体"/>
          <w:szCs w:val="21"/>
        </w:rPr>
      </w:pPr>
      <w:r>
        <w:rPr>
          <w:rFonts w:hint="eastAsia" w:ascii="宋体" w:hAnsi="宋体"/>
          <w:szCs w:val="21"/>
        </w:rPr>
        <w:t xml:space="preserve">    附注项目仅由除邮储银行以外的国有大型银行填报，具体包括工商银行、农业银行、中国银行、建设银行和交通银行。</w:t>
      </w:r>
    </w:p>
    <w:p>
      <w:pPr>
        <w:spacing w:line="440" w:lineRule="exact"/>
        <w:ind w:firstLine="420" w:firstLineChars="200"/>
        <w:rPr>
          <w:rFonts w:ascii="宋体" w:hAnsi="宋体"/>
          <w:szCs w:val="21"/>
        </w:rPr>
      </w:pPr>
      <w:r>
        <w:rPr>
          <w:rFonts w:hint="eastAsia" w:ascii="宋体" w:hAnsi="宋体"/>
          <w:szCs w:val="21"/>
        </w:rPr>
        <w:t>[附注1.一二类案件涉案金额]</w:t>
      </w:r>
      <w:r>
        <w:rPr>
          <w:rFonts w:hint="eastAsia"/>
        </w:rPr>
        <w:t>：</w:t>
      </w:r>
      <w:r>
        <w:rPr>
          <w:rFonts w:hint="eastAsia" w:ascii="宋体" w:hAnsi="宋体"/>
          <w:szCs w:val="21"/>
        </w:rPr>
        <w:t>年初至报告期末一二类案件的涉案金额，其中一二类案件定义按照《中国银监会关于修订银行业金融机构案件定义及案件分类的通知》（银监发（2012）61号）确定。</w:t>
      </w:r>
    </w:p>
    <w:p>
      <w:pPr>
        <w:spacing w:line="440" w:lineRule="exact"/>
        <w:ind w:firstLine="420" w:firstLineChars="200"/>
        <w:rPr>
          <w:rFonts w:ascii="宋体" w:hAnsi="宋体"/>
          <w:szCs w:val="21"/>
        </w:rPr>
      </w:pPr>
      <w:r>
        <w:rPr>
          <w:rFonts w:hint="eastAsia" w:ascii="宋体" w:hAnsi="宋体"/>
          <w:szCs w:val="21"/>
        </w:rPr>
        <w:t>[附注2.重要信息系统计划服务时间]：年初至报告期末重要信息系统计划应对外提供的服务总时间。单位为分钟。</w:t>
      </w:r>
    </w:p>
    <w:p>
      <w:pPr>
        <w:spacing w:line="440" w:lineRule="exact"/>
        <w:ind w:firstLine="420" w:firstLineChars="200"/>
        <w:rPr>
          <w:rFonts w:ascii="宋体" w:hAnsi="宋体"/>
          <w:szCs w:val="21"/>
        </w:rPr>
      </w:pPr>
      <w:r>
        <w:rPr>
          <w:rFonts w:hint="eastAsia" w:ascii="宋体" w:hAnsi="宋体"/>
          <w:szCs w:val="21"/>
        </w:rPr>
        <w:t>[附注3.非预期停止服务时间]：年初至报告期末在重要信息系统计划服务时间段内，因各种非预期原因导致重要信息系统停止服务、全面或部分（超过50%）影响业务持续开展的总时间。单位为分钟。</w:t>
      </w:r>
    </w:p>
    <w:p>
      <w:pPr>
        <w:spacing w:line="440" w:lineRule="exact"/>
        <w:ind w:firstLine="420" w:firstLineChars="200"/>
        <w:rPr>
          <w:rFonts w:ascii="宋体" w:hAnsi="宋体"/>
          <w:szCs w:val="21"/>
        </w:rPr>
      </w:pPr>
      <w:r>
        <w:rPr>
          <w:rFonts w:hint="eastAsia" w:ascii="宋体" w:hAnsi="宋体"/>
          <w:szCs w:val="21"/>
        </w:rPr>
        <w:t>[附注4.计划服务时间]：年初至报告期末对外应提供的服务总时间。单位为分钟。</w:t>
      </w:r>
    </w:p>
    <w:p>
      <w:pPr>
        <w:spacing w:line="440" w:lineRule="exact"/>
        <w:rPr>
          <w:rFonts w:ascii="宋体" w:hAnsi="宋体"/>
          <w:b/>
          <w:bCs/>
          <w:szCs w:val="21"/>
        </w:rPr>
      </w:pPr>
      <w:r>
        <w:rPr>
          <w:rFonts w:hint="eastAsia" w:ascii="宋体" w:hAnsi="宋体"/>
          <w:b/>
          <w:bCs/>
          <w:szCs w:val="21"/>
        </w:rPr>
        <w:t>第四部分：核对关系</w:t>
      </w:r>
    </w:p>
    <w:p>
      <w:pPr>
        <w:spacing w:line="440" w:lineRule="exact"/>
        <w:ind w:firstLine="421" w:firstLineChars="200"/>
        <w:rPr>
          <w:rFonts w:ascii="宋体" w:hAnsi="宋体"/>
          <w:b/>
          <w:bCs/>
          <w:szCs w:val="21"/>
        </w:rPr>
      </w:pPr>
      <w:r>
        <w:rPr>
          <w:rFonts w:ascii="宋体" w:hAnsi="宋体"/>
          <w:b/>
          <w:bCs/>
          <w:szCs w:val="21"/>
        </w:rPr>
        <w:t>1.</w:t>
      </w:r>
      <w:r>
        <w:rPr>
          <w:rFonts w:hint="eastAsia" w:ascii="宋体" w:hAnsi="宋体"/>
          <w:b/>
          <w:bCs/>
          <w:szCs w:val="21"/>
        </w:rPr>
        <w:t>表内核对关系</w:t>
      </w:r>
    </w:p>
    <w:p>
      <w:pPr>
        <w:spacing w:line="440" w:lineRule="exact"/>
        <w:ind w:firstLine="420" w:firstLineChars="200"/>
        <w:rPr>
          <w:rFonts w:ascii="宋体" w:hAnsi="宋体"/>
          <w:szCs w:val="21"/>
        </w:rPr>
      </w:pPr>
      <w:r>
        <w:rPr>
          <w:rFonts w:hint="eastAsia" w:ascii="宋体" w:hAnsi="宋体"/>
          <w:szCs w:val="21"/>
        </w:rPr>
        <w:t>[1.1.1]＝[1.1.1.1]+[1.1.1.2]</w:t>
      </w:r>
    </w:p>
    <w:p>
      <w:pPr>
        <w:spacing w:line="440" w:lineRule="exact"/>
        <w:ind w:firstLine="420" w:firstLineChars="200"/>
        <w:rPr>
          <w:rFonts w:ascii="宋体" w:hAnsi="宋体"/>
          <w:szCs w:val="21"/>
        </w:rPr>
      </w:pPr>
      <w:r>
        <w:rPr>
          <w:rFonts w:hint="eastAsia" w:ascii="宋体" w:hAnsi="宋体"/>
          <w:szCs w:val="21"/>
        </w:rPr>
        <w:t>以上适用于[A]、[B]、[C]列。</w:t>
      </w:r>
    </w:p>
    <w:p>
      <w:pPr>
        <w:spacing w:line="440" w:lineRule="exact"/>
        <w:ind w:firstLine="420" w:firstLineChars="200"/>
        <w:rPr>
          <w:rFonts w:ascii="宋体" w:hAnsi="宋体"/>
          <w:szCs w:val="21"/>
        </w:rPr>
      </w:pPr>
      <w:r>
        <w:rPr>
          <w:rFonts w:hint="eastAsia" w:ascii="宋体" w:hAnsi="宋体"/>
          <w:szCs w:val="21"/>
        </w:rPr>
        <w:t>[1.1.2A]＝[1.1.1A]、[1.1.1B]、[1.1.1C]中为正的数值之和*15%/[1.1.1A]、[1.1.1B]、[1.1.1C]中为正的数值的个数。</w:t>
      </w:r>
    </w:p>
    <w:p>
      <w:pPr>
        <w:spacing w:line="440" w:lineRule="exact"/>
        <w:ind w:firstLine="420" w:firstLineChars="200"/>
        <w:rPr>
          <w:rFonts w:ascii="宋体" w:hAnsi="宋体"/>
          <w:szCs w:val="21"/>
        </w:rPr>
      </w:pP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A]＝[1.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1.1.4</w:t>
      </w:r>
      <w:r>
        <w:rPr>
          <w:rFonts w:hint="eastAsia" w:ascii="宋体" w:hAnsi="宋体"/>
          <w:szCs w:val="21"/>
          <w:highlight w:val="none"/>
        </w:rPr>
        <w:t>A]×α</w:t>
      </w:r>
      <w:r>
        <w:rPr>
          <w:rFonts w:hint="eastAsia" w:ascii="宋体" w:hAnsi="宋体"/>
          <w:szCs w:val="21"/>
          <w:highlight w:val="none"/>
          <w:vertAlign w:val="subscript"/>
        </w:rPr>
        <w:t>i</w:t>
      </w:r>
      <w:r>
        <w:rPr>
          <w:rFonts w:hint="eastAsia" w:ascii="宋体" w:hAnsi="宋体"/>
          <w:szCs w:val="21"/>
          <w:highlight w:val="none"/>
        </w:rPr>
        <w:t>。其中，[1.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w:t>
      </w:r>
      <w:r>
        <w:rPr>
          <w:rFonts w:ascii="宋体" w:hAnsi="宋体"/>
          <w:szCs w:val="21"/>
          <w:highlight w:val="none"/>
        </w:rPr>
        <w:t>1.4</w:t>
      </w:r>
      <w:r>
        <w:rPr>
          <w:rFonts w:hint="eastAsia" w:ascii="宋体" w:hAnsi="宋体"/>
          <w:szCs w:val="21"/>
          <w:highlight w:val="none"/>
        </w:rPr>
        <w:t>A]80亿元人民币（含）以下的部</w:t>
      </w:r>
      <w:r>
        <w:rPr>
          <w:rFonts w:hint="eastAsia" w:ascii="宋体" w:hAnsi="宋体"/>
          <w:szCs w:val="21"/>
        </w:rPr>
        <w:t>分适用α</w:t>
      </w:r>
      <w:r>
        <w:rPr>
          <w:rFonts w:hint="eastAsia" w:ascii="宋体" w:hAnsi="宋体"/>
          <w:szCs w:val="21"/>
          <w:vertAlign w:val="subscript"/>
        </w:rPr>
        <w:t>i</w:t>
      </w:r>
      <w:r>
        <w:rPr>
          <w:rFonts w:ascii="宋体" w:hAnsi="宋体"/>
          <w:szCs w:val="21"/>
        </w:rPr>
        <w:t>=12%</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1.4</w:t>
      </w:r>
      <w:r>
        <w:rPr>
          <w:rFonts w:hint="eastAsia" w:ascii="宋体" w:hAnsi="宋体"/>
          <w:szCs w:val="21"/>
        </w:rPr>
        <w:t>A]80亿元人民币以上、2400亿元人民币（含）以下的部分适用α</w:t>
      </w:r>
      <w:r>
        <w:rPr>
          <w:rFonts w:hint="eastAsia" w:ascii="宋体" w:hAnsi="宋体"/>
          <w:szCs w:val="21"/>
          <w:vertAlign w:val="subscript"/>
        </w:rPr>
        <w:t>i</w:t>
      </w:r>
      <w:r>
        <w:rPr>
          <w:rFonts w:ascii="宋体" w:hAnsi="宋体"/>
          <w:szCs w:val="21"/>
        </w:rPr>
        <w:t>=15%</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1.4</w:t>
      </w:r>
      <w:r>
        <w:rPr>
          <w:rFonts w:hint="eastAsia" w:ascii="宋体" w:hAnsi="宋体"/>
          <w:szCs w:val="21"/>
        </w:rPr>
        <w:t>A]2400亿元人民币以上的部分适用α</w:t>
      </w:r>
      <w:r>
        <w:rPr>
          <w:rFonts w:hint="eastAsia" w:ascii="宋体" w:hAnsi="宋体"/>
          <w:szCs w:val="21"/>
          <w:vertAlign w:val="subscript"/>
        </w:rPr>
        <w:t>i</w:t>
      </w:r>
      <w:r>
        <w:rPr>
          <w:rFonts w:ascii="宋体" w:hAnsi="宋体"/>
          <w:szCs w:val="21"/>
        </w:rPr>
        <w:t>=18%</w:t>
      </w:r>
      <w:r>
        <w:rPr>
          <w:rFonts w:hint="eastAsia" w:ascii="宋体" w:hAnsi="宋体"/>
          <w:szCs w:val="21"/>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w:t>
      </w:r>
      <w:r>
        <w:rPr>
          <w:rFonts w:hint="eastAsia" w:ascii="宋体" w:hAnsi="宋体"/>
          <w:szCs w:val="21"/>
        </w:rPr>
        <w:t>A]＝</w:t>
      </w:r>
      <w:r>
        <w:rPr>
          <w:rFonts w:ascii="宋体" w:hAnsi="宋体"/>
          <w:i/>
          <w:szCs w:val="21"/>
        </w:rPr>
        <w:t>Min</w:t>
      </w:r>
      <w:r>
        <w:rPr>
          <w:rFonts w:ascii="宋体" w:hAnsi="宋体"/>
          <w:szCs w:val="21"/>
        </w:rPr>
        <w:t>(</w:t>
      </w:r>
      <w:r>
        <w:rPr>
          <w:rFonts w:ascii="宋体" w:hAnsi="宋体"/>
          <w:i/>
          <w:szCs w:val="21"/>
        </w:rPr>
        <w:t>Average</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1.1.1</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1.1.2</w:t>
      </w:r>
      <w:r>
        <w:rPr>
          <w:rFonts w:hint="eastAsia" w:ascii="宋体" w:hAnsi="宋体"/>
          <w:szCs w:val="21"/>
        </w:rPr>
        <w:t>A]</w:t>
      </w:r>
      <w:r>
        <w:rPr>
          <w:rFonts w:ascii="宋体" w:hAnsi="宋体"/>
          <w:szCs w:val="21"/>
        </w:rPr>
        <w:t>),</w:t>
      </w:r>
    </w:p>
    <w:p>
      <w:pPr>
        <w:spacing w:line="440" w:lineRule="exact"/>
        <w:ind w:firstLine="420" w:firstLineChars="200"/>
        <w:rPr>
          <w:rFonts w:ascii="宋体" w:hAnsi="宋体"/>
          <w:i/>
          <w:szCs w:val="21"/>
        </w:rPr>
      </w:pP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1.1.1B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1.1.2B</w:t>
      </w:r>
      <w:r>
        <w:rPr>
          <w:rFonts w:hint="eastAsia" w:ascii="宋体" w:hAnsi="宋体"/>
          <w:szCs w:val="21"/>
        </w:rPr>
        <w:t>]</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1.1.1C</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1.1.2C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2.25%*</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1.1.3A</w:t>
      </w:r>
      <w:r>
        <w:rPr>
          <w:rFonts w:hint="eastAsia" w:ascii="宋体" w:hAnsi="宋体"/>
          <w:szCs w:val="21"/>
        </w:rPr>
        <w:t>], [1.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1.1.3B</w:t>
      </w:r>
      <w:r>
        <w:rPr>
          <w:rFonts w:hint="eastAsia" w:ascii="宋体" w:hAnsi="宋体"/>
          <w:szCs w:val="21"/>
        </w:rPr>
        <w:t>]</w:t>
      </w:r>
      <w:r>
        <w:rPr>
          <w:rFonts w:ascii="宋体" w:hAnsi="宋体"/>
          <w:szCs w:val="21"/>
        </w:rPr>
        <w:t>,</w:t>
      </w:r>
      <w:r>
        <w:rPr>
          <w:rFonts w:hint="eastAsia" w:ascii="宋体" w:hAnsi="宋体"/>
          <w:szCs w:val="21"/>
        </w:rPr>
        <w:t xml:space="preserve"> [1.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1.1.3C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1.1.4A</w:t>
      </w:r>
      <w:r>
        <w:rPr>
          <w:rFonts w:hint="eastAsia" w:ascii="宋体" w:hAnsi="宋体"/>
          <w:szCs w:val="21"/>
        </w:rPr>
        <w:t>], [1.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1.1.4B</w:t>
      </w:r>
      <w:r>
        <w:rPr>
          <w:rFonts w:hint="eastAsia" w:ascii="宋体" w:hAnsi="宋体"/>
          <w:szCs w:val="21"/>
        </w:rPr>
        <w:t>]</w:t>
      </w:r>
      <w:r>
        <w:rPr>
          <w:rFonts w:ascii="宋体" w:hAnsi="宋体"/>
          <w:szCs w:val="21"/>
        </w:rPr>
        <w:t>,</w:t>
      </w:r>
      <w:r>
        <w:rPr>
          <w:rFonts w:hint="eastAsia" w:ascii="宋体" w:hAnsi="宋体"/>
          <w:szCs w:val="21"/>
        </w:rPr>
        <w:t xml:space="preserve"> [1.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1.1.4C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w:t>
      </w:r>
      <w:r>
        <w:rPr>
          <w:rFonts w:hint="eastAsia" w:ascii="宋体" w:hAnsi="宋体"/>
          <w:szCs w:val="21"/>
        </w:rPr>
        <w:t>A]＝</w:t>
      </w:r>
      <w:r>
        <w:rPr>
          <w:rFonts w:ascii="宋体" w:hAnsi="宋体"/>
          <w:i/>
          <w:szCs w:val="21"/>
        </w:rPr>
        <w:t>M</w:t>
      </w:r>
      <w:r>
        <w:rPr>
          <w:rFonts w:hint="eastAsia" w:ascii="宋体" w:hAnsi="宋体"/>
          <w:i/>
          <w:szCs w:val="21"/>
        </w:rPr>
        <w:t>ax</w:t>
      </w:r>
      <w:r>
        <w:rPr>
          <w:rFonts w:ascii="宋体" w:hAnsi="宋体"/>
          <w:szCs w:val="21"/>
        </w:rPr>
        <w:t>(</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1.2.1</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1.2.1B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1.2.1C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1.2.2</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1.2.2B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1.2.2C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w:t>
      </w:r>
      <w:r>
        <w:rPr>
          <w:rFonts w:ascii="宋体" w:hAnsi="宋体"/>
          <w:i/>
          <w:szCs w:val="21"/>
        </w:rPr>
        <w:t>M</w:t>
      </w:r>
      <w:r>
        <w:rPr>
          <w:rFonts w:hint="eastAsia" w:ascii="宋体" w:hAnsi="宋体"/>
          <w:i/>
          <w:szCs w:val="21"/>
        </w:rPr>
        <w:t>ax</w:t>
      </w:r>
      <w:r>
        <w:rPr>
          <w:rFonts w:ascii="宋体" w:hAnsi="宋体"/>
          <w:szCs w:val="21"/>
        </w:rPr>
        <w:t>(</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1.2.3</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1.2.3B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1.2.3C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1.2.4</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1.2.4B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1.2.4C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w:t>
      </w:r>
      <w:r>
        <w:rPr>
          <w:rFonts w:hint="eastAsia" w:ascii="宋体" w:hAnsi="宋体"/>
          <w:szCs w:val="21"/>
        </w:rPr>
        <w:t>A]=</w:t>
      </w:r>
    </w:p>
    <w:p>
      <w:pPr>
        <w:spacing w:line="440" w:lineRule="exact"/>
        <w:ind w:firstLine="420" w:firstLineChars="200"/>
        <w:rPr>
          <w:rFonts w:ascii="宋体" w:hAnsi="宋体"/>
          <w:szCs w:val="21"/>
        </w:rPr>
      </w:pPr>
      <w:r>
        <w:rPr>
          <w:rFonts w:ascii="宋体" w:hAnsi="宋体"/>
          <w:i/>
          <w:szCs w:val="21"/>
        </w:rPr>
        <w:t>Average</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1.3.1</w:t>
      </w:r>
      <w:r>
        <w:rPr>
          <w:rFonts w:hint="eastAsia" w:ascii="宋体" w:hAnsi="宋体"/>
          <w:szCs w:val="21"/>
        </w:rPr>
        <w:t>A]</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1.3.1B</w:t>
      </w:r>
      <w:r>
        <w:rPr>
          <w:rFonts w:hint="eastAsia" w:ascii="宋体" w:hAnsi="宋体"/>
          <w:szCs w:val="21"/>
        </w:rPr>
        <w:t>]</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1.3.1C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w:t>
      </w:r>
      <w:r>
        <w:rPr>
          <w:rFonts w:ascii="宋体" w:hAnsi="宋体"/>
          <w:i/>
          <w:szCs w:val="21"/>
        </w:rPr>
        <w:t>Average</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1.3.2</w:t>
      </w:r>
      <w:r>
        <w:rPr>
          <w:rFonts w:hint="eastAsia" w:ascii="宋体" w:hAnsi="宋体"/>
          <w:szCs w:val="21"/>
        </w:rPr>
        <w:t>A]</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1.3.2B</w:t>
      </w:r>
      <w:r>
        <w:rPr>
          <w:rFonts w:hint="eastAsia" w:ascii="宋体" w:hAnsi="宋体"/>
          <w:szCs w:val="21"/>
        </w:rPr>
        <w:t>]</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1.3.2C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1.4</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1.1</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1.2</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rPr>
        <w:t>.</w:t>
      </w:r>
      <w:r>
        <w:rPr>
          <w:rFonts w:ascii="宋体" w:hAnsi="宋体"/>
          <w:szCs w:val="21"/>
        </w:rPr>
        <w:t>1.3</w:t>
      </w:r>
      <w:r>
        <w:rPr>
          <w:rFonts w:hint="eastAsia" w:ascii="宋体" w:hAnsi="宋体"/>
          <w:szCs w:val="21"/>
        </w:rPr>
        <w:t>A]</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w:t>
      </w:r>
      <w:r>
        <w:rPr>
          <w:rFonts w:ascii="宋体" w:hAnsi="宋体"/>
          <w:szCs w:val="21"/>
        </w:rPr>
        <w:t>1</w:t>
      </w:r>
      <w:r>
        <w:rPr>
          <w:rFonts w:hint="eastAsia" w:ascii="宋体" w:hAnsi="宋体"/>
          <w:szCs w:val="21"/>
        </w:rPr>
        <w:t>A]</w:t>
      </w:r>
      <w:r>
        <w:rPr>
          <w:rFonts w:ascii="宋体" w:hAnsi="宋体"/>
          <w:szCs w:val="21"/>
        </w:rPr>
        <w:t>*15</w:t>
      </w:r>
    </w:p>
    <w:p>
      <w:pPr>
        <w:spacing w:line="440" w:lineRule="exact"/>
        <w:ind w:firstLine="420" w:firstLineChars="200"/>
        <w:rPr>
          <w:rFonts w:hint="eastAsia" w:ascii="宋体" w:hAnsi="宋体" w:eastAsia="宋体"/>
          <w:szCs w:val="21"/>
          <w:lang w:val="en-US" w:eastAsia="zh-CN"/>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1.3</w:t>
      </w:r>
      <w:r>
        <w:rPr>
          <w:rFonts w:hint="eastAsia" w:ascii="宋体" w:hAnsi="宋体"/>
          <w:szCs w:val="21"/>
        </w:rPr>
        <w:t>A]</w:t>
      </w:r>
      <w:r>
        <w:rPr>
          <w:rFonts w:hint="eastAsia" w:ascii="宋体" w:hAnsi="宋体"/>
          <w:szCs w:val="21"/>
          <w:lang w:val="en-US" w:eastAsia="zh-CN"/>
        </w:rPr>
        <w:t>=</w:t>
      </w:r>
      <w:r>
        <w:rPr>
          <w:rFonts w:ascii="宋体" w:hAnsi="宋体"/>
          <w:i/>
          <w:szCs w:val="21"/>
        </w:rPr>
        <w:t>M</w:t>
      </w:r>
      <w:r>
        <w:rPr>
          <w:rFonts w:hint="eastAsia" w:ascii="宋体" w:hAnsi="宋体"/>
          <w:i/>
          <w:szCs w:val="21"/>
        </w:rPr>
        <w:t>ax</w:t>
      </w:r>
      <w:r>
        <w:rPr>
          <w:rFonts w:hint="eastAsia" w:ascii="宋体" w:hAnsi="宋体"/>
          <w:i/>
          <w:szCs w:val="21"/>
          <w:lang w:eastAsia="zh-CN"/>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lang w:val="en-US" w:eastAsia="zh-CN"/>
        </w:rPr>
        <w:t>3.1</w:t>
      </w:r>
      <w:r>
        <w:rPr>
          <w:rFonts w:hint="eastAsia" w:ascii="宋体" w:hAnsi="宋体"/>
          <w:szCs w:val="21"/>
        </w:rPr>
        <w:t>A]</w:t>
      </w:r>
      <w:r>
        <w:rPr>
          <w:rFonts w:hint="eastAsia" w:ascii="宋体" w:hAnsi="宋体"/>
          <w:szCs w:val="21"/>
          <w:lang w:val="en-US" w:eastAsia="zh-CN"/>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lang w:val="en-US" w:eastAsia="zh-CN"/>
        </w:rPr>
        <w:t>3.2</w:t>
      </w:r>
      <w:r>
        <w:rPr>
          <w:rFonts w:hint="eastAsia" w:ascii="宋体" w:hAnsi="宋体"/>
          <w:szCs w:val="21"/>
        </w:rPr>
        <w:t>A]</w:t>
      </w:r>
      <w:r>
        <w:rPr>
          <w:rFonts w:hint="eastAsia" w:ascii="宋体" w:hAnsi="宋体"/>
          <w:i/>
          <w:szCs w:val="21"/>
          <w:lang w:eastAsia="zh-CN"/>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w:t>
      </w:r>
      <w:r>
        <w:rPr>
          <w:rFonts w:hint="eastAsia" w:ascii="宋体" w:hAnsi="宋体"/>
          <w:szCs w:val="21"/>
          <w:lang w:val="en-US" w:eastAsia="zh-CN"/>
        </w:rPr>
        <w:t>3.1</w:t>
      </w:r>
      <w:r>
        <w:rPr>
          <w:rFonts w:hint="eastAsia" w:ascii="宋体" w:hAnsi="宋体"/>
          <w:szCs w:val="21"/>
        </w:rPr>
        <w:t>A]</w:t>
      </w:r>
      <w:r>
        <w:rPr>
          <w:rFonts w:ascii="宋体" w:hAnsi="宋体"/>
          <w:szCs w:val="21"/>
        </w:rPr>
        <w:t>=</w:t>
      </w:r>
      <w:r>
        <w:rPr>
          <w:rFonts w:ascii="宋体" w:hAnsi="宋体"/>
          <w:i/>
          <w:szCs w:val="21"/>
        </w:rPr>
        <w:t>Ln</w:t>
      </w:r>
      <w:r>
        <w:rPr>
          <w:rFonts w:ascii="宋体" w:hAnsi="宋体"/>
          <w:szCs w:val="21"/>
        </w:rPr>
        <w:t>(</w:t>
      </w:r>
      <w:r>
        <w:rPr>
          <w:rFonts w:ascii="宋体" w:hAnsi="宋体"/>
          <w:i/>
          <w:szCs w:val="21"/>
        </w:rPr>
        <w:t>exp</w:t>
      </w:r>
      <w:r>
        <w:rPr>
          <w:rFonts w:ascii="宋体" w:hAnsi="宋体"/>
          <w:szCs w:val="21"/>
        </w:rPr>
        <w:t>(1)-1+(</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1.1</w:t>
      </w:r>
      <w:r>
        <w:rPr>
          <w:rFonts w:hint="eastAsia" w:ascii="宋体" w:hAnsi="宋体"/>
          <w:szCs w:val="21"/>
        </w:rPr>
        <w:t>A]</w:t>
      </w:r>
      <w:r>
        <w:rPr>
          <w:rFonts w:ascii="宋体" w:hAnsi="宋体"/>
          <w:szCs w:val="21"/>
        </w:rPr>
        <w:t>)^0.8)</w:t>
      </w:r>
      <w:r>
        <w:rPr>
          <w:rFonts w:hint="eastAsia" w:ascii="宋体" w:hAnsi="宋体"/>
          <w:szCs w:val="21"/>
        </w:rPr>
        <w:t>。其中，</w:t>
      </w:r>
      <w:r>
        <w:rPr>
          <w:rFonts w:ascii="宋体" w:hAnsi="宋体"/>
          <w:i/>
          <w:szCs w:val="21"/>
        </w:rPr>
        <w:t>L</w:t>
      </w:r>
      <w:r>
        <w:rPr>
          <w:rFonts w:hint="eastAsia" w:ascii="宋体" w:hAnsi="宋体"/>
          <w:i/>
          <w:szCs w:val="21"/>
        </w:rPr>
        <w:t>n</w:t>
      </w:r>
      <w:r>
        <w:rPr>
          <w:rFonts w:ascii="宋体" w:hAnsi="宋体"/>
          <w:szCs w:val="21"/>
        </w:rPr>
        <w:t>()</w:t>
      </w:r>
      <w:r>
        <w:rPr>
          <w:rFonts w:hint="eastAsia" w:ascii="宋体" w:hAnsi="宋体"/>
          <w:szCs w:val="21"/>
        </w:rPr>
        <w:t>代表取自然常数e为底的对数，</w:t>
      </w:r>
      <w:r>
        <w:rPr>
          <w:rFonts w:ascii="宋体" w:hAnsi="宋体"/>
          <w:i/>
          <w:szCs w:val="21"/>
        </w:rPr>
        <w:t>exp</w:t>
      </w:r>
      <w:r>
        <w:rPr>
          <w:rFonts w:hint="eastAsia" w:ascii="宋体" w:hAnsi="宋体"/>
          <w:szCs w:val="21"/>
        </w:rPr>
        <w:t>(</w:t>
      </w:r>
      <w:r>
        <w:rPr>
          <w:rFonts w:ascii="宋体" w:hAnsi="宋体"/>
          <w:szCs w:val="21"/>
        </w:rPr>
        <w:t>)</w:t>
      </w:r>
      <w:r>
        <w:rPr>
          <w:rFonts w:hint="eastAsia" w:ascii="宋体" w:hAnsi="宋体"/>
          <w:szCs w:val="21"/>
        </w:rPr>
        <w:t>代表取自然常数e为底的指数。</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1.4</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1.1</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1.3</w:t>
      </w:r>
      <w:r>
        <w:rPr>
          <w:rFonts w:hint="eastAsia" w:ascii="宋体" w:hAnsi="宋体"/>
          <w:szCs w:val="21"/>
        </w:rPr>
        <w:t>A]</w:t>
      </w:r>
    </w:p>
    <w:p>
      <w:pPr>
        <w:spacing w:line="440" w:lineRule="exact"/>
        <w:ind w:firstLine="420" w:firstLineChars="200"/>
        <w:rPr>
          <w:rFonts w:hint="eastAsia" w:ascii="宋体" w:hAnsi="宋体" w:eastAsia="宋体"/>
          <w:szCs w:val="21"/>
          <w:highlight w:val="none"/>
          <w:lang w:eastAsia="zh-CN"/>
        </w:rPr>
      </w:pP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2</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A]＝[1.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2.1.4</w:t>
      </w:r>
      <w:r>
        <w:rPr>
          <w:rFonts w:hint="eastAsia" w:ascii="宋体" w:hAnsi="宋体"/>
          <w:szCs w:val="21"/>
          <w:highlight w:val="none"/>
        </w:rPr>
        <w:t>A]×α</w:t>
      </w:r>
      <w:r>
        <w:rPr>
          <w:rFonts w:hint="eastAsia" w:ascii="宋体" w:hAnsi="宋体"/>
          <w:szCs w:val="21"/>
          <w:highlight w:val="none"/>
          <w:vertAlign w:val="subscript"/>
        </w:rPr>
        <w:t>i</w:t>
      </w:r>
      <w:r>
        <w:rPr>
          <w:rFonts w:hint="eastAsia" w:ascii="宋体" w:hAnsi="宋体"/>
          <w:szCs w:val="21"/>
          <w:highlight w:val="none"/>
        </w:rPr>
        <w:t>。其中，[1.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2.1.4</w:t>
      </w:r>
      <w:r>
        <w:rPr>
          <w:rFonts w:hint="eastAsia" w:ascii="宋体" w:hAnsi="宋体"/>
          <w:szCs w:val="21"/>
          <w:highlight w:val="none"/>
        </w:rPr>
        <w:t>A]</w:t>
      </w:r>
      <w:r>
        <w:rPr>
          <w:rFonts w:hint="eastAsia" w:ascii="宋体" w:hAnsi="宋体"/>
          <w:szCs w:val="21"/>
          <w:highlight w:val="none"/>
          <w:lang w:eastAsia="zh-CN"/>
        </w:rPr>
        <w:t>在</w:t>
      </w: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w:t>
      </w:r>
      <w:r>
        <w:rPr>
          <w:rFonts w:ascii="宋体" w:hAnsi="宋体"/>
          <w:szCs w:val="21"/>
          <w:highlight w:val="none"/>
        </w:rPr>
        <w:t>1.4</w:t>
      </w:r>
      <w:r>
        <w:rPr>
          <w:rFonts w:hint="eastAsia" w:ascii="宋体" w:hAnsi="宋体"/>
          <w:szCs w:val="21"/>
          <w:highlight w:val="none"/>
        </w:rPr>
        <w:t>A]</w:t>
      </w:r>
      <w:r>
        <w:rPr>
          <w:rFonts w:hint="eastAsia" w:ascii="宋体" w:hAnsi="宋体"/>
          <w:szCs w:val="21"/>
          <w:highlight w:val="none"/>
          <w:lang w:eastAsia="zh-CN"/>
        </w:rPr>
        <w:t>的基础上累加，合并后规模</w:t>
      </w:r>
      <w:r>
        <w:rPr>
          <w:rFonts w:hint="eastAsia" w:ascii="宋体" w:hAnsi="宋体"/>
          <w:szCs w:val="21"/>
          <w:highlight w:val="none"/>
        </w:rPr>
        <w:t>80亿元人民币（含）以下的部分适用α</w:t>
      </w:r>
      <w:r>
        <w:rPr>
          <w:rFonts w:hint="eastAsia" w:ascii="宋体" w:hAnsi="宋体"/>
          <w:szCs w:val="21"/>
          <w:highlight w:val="none"/>
          <w:vertAlign w:val="subscript"/>
        </w:rPr>
        <w:t>i</w:t>
      </w:r>
      <w:r>
        <w:rPr>
          <w:rFonts w:ascii="宋体" w:hAnsi="宋体"/>
          <w:szCs w:val="21"/>
          <w:highlight w:val="none"/>
        </w:rPr>
        <w:t>=12%</w:t>
      </w:r>
      <w:r>
        <w:rPr>
          <w:rFonts w:hint="eastAsia" w:ascii="宋体" w:hAnsi="宋体"/>
          <w:szCs w:val="21"/>
          <w:highlight w:val="none"/>
        </w:rPr>
        <w:t>，80亿元人民币以上、2400亿元人民币（含）以下的部分适用α</w:t>
      </w:r>
      <w:r>
        <w:rPr>
          <w:rFonts w:hint="eastAsia" w:ascii="宋体" w:hAnsi="宋体"/>
          <w:szCs w:val="21"/>
          <w:highlight w:val="none"/>
          <w:vertAlign w:val="subscript"/>
        </w:rPr>
        <w:t>i</w:t>
      </w:r>
      <w:r>
        <w:rPr>
          <w:rFonts w:ascii="宋体" w:hAnsi="宋体"/>
          <w:szCs w:val="21"/>
          <w:highlight w:val="none"/>
        </w:rPr>
        <w:t>=15%</w:t>
      </w:r>
      <w:r>
        <w:rPr>
          <w:rFonts w:hint="eastAsia" w:ascii="宋体" w:hAnsi="宋体"/>
          <w:szCs w:val="21"/>
          <w:highlight w:val="none"/>
        </w:rPr>
        <w:t>，2400亿元人民币以上的部分适用α</w:t>
      </w:r>
      <w:r>
        <w:rPr>
          <w:rFonts w:hint="eastAsia" w:ascii="宋体" w:hAnsi="宋体"/>
          <w:szCs w:val="21"/>
          <w:highlight w:val="none"/>
          <w:vertAlign w:val="subscript"/>
        </w:rPr>
        <w:t>i</w:t>
      </w:r>
      <w:r>
        <w:rPr>
          <w:rFonts w:ascii="宋体" w:hAnsi="宋体"/>
          <w:szCs w:val="21"/>
          <w:highlight w:val="none"/>
        </w:rPr>
        <w:t>=18%</w:t>
      </w:r>
      <w:r>
        <w:rPr>
          <w:rFonts w:hint="eastAsia" w:ascii="宋体" w:hAnsi="宋体"/>
          <w:szCs w:val="21"/>
          <w:highlight w:val="none"/>
        </w:rPr>
        <w:t>。</w:t>
      </w:r>
      <w:r>
        <w:rPr>
          <w:rFonts w:hint="eastAsia" w:ascii="宋体" w:hAnsi="宋体"/>
          <w:szCs w:val="21"/>
          <w:highlight w:val="none"/>
          <w:lang w:eastAsia="zh-CN"/>
        </w:rPr>
        <w:t>即合并规模后，</w:t>
      </w: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w:t>
      </w:r>
      <w:r>
        <w:rPr>
          <w:rFonts w:ascii="宋体" w:hAnsi="宋体"/>
          <w:szCs w:val="21"/>
          <w:highlight w:val="none"/>
        </w:rPr>
        <w:t>1.4</w:t>
      </w:r>
      <w:r>
        <w:rPr>
          <w:rFonts w:hint="eastAsia" w:ascii="宋体" w:hAnsi="宋体"/>
          <w:szCs w:val="21"/>
          <w:highlight w:val="none"/>
        </w:rPr>
        <w:t>A]</w:t>
      </w:r>
      <w:r>
        <w:rPr>
          <w:rFonts w:hint="eastAsia" w:ascii="宋体" w:hAnsi="宋体"/>
          <w:szCs w:val="21"/>
          <w:highlight w:val="none"/>
          <w:lang w:eastAsia="zh-CN"/>
        </w:rPr>
        <w:t>优先适用合并规模中</w:t>
      </w:r>
      <w:r>
        <w:rPr>
          <w:rFonts w:hint="eastAsia" w:ascii="宋体" w:hAnsi="宋体"/>
          <w:szCs w:val="21"/>
          <w:highlight w:val="none"/>
        </w:rPr>
        <w:t>α</w:t>
      </w:r>
      <w:r>
        <w:rPr>
          <w:rFonts w:hint="eastAsia" w:ascii="宋体" w:hAnsi="宋体"/>
          <w:szCs w:val="21"/>
          <w:highlight w:val="none"/>
          <w:vertAlign w:val="subscript"/>
        </w:rPr>
        <w:t>i</w:t>
      </w:r>
      <w:r>
        <w:rPr>
          <w:rFonts w:hint="eastAsia" w:ascii="宋体" w:hAnsi="宋体"/>
          <w:szCs w:val="21"/>
          <w:highlight w:val="none"/>
          <w:lang w:eastAsia="zh-CN"/>
        </w:rPr>
        <w:t>较低的部分，</w:t>
      </w: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w:t>
      </w:r>
      <w:r>
        <w:rPr>
          <w:rFonts w:ascii="宋体" w:hAnsi="宋体"/>
          <w:szCs w:val="21"/>
          <w:highlight w:val="none"/>
        </w:rPr>
        <w:t>2.1.4</w:t>
      </w:r>
      <w:r>
        <w:rPr>
          <w:rFonts w:hint="eastAsia" w:ascii="宋体" w:hAnsi="宋体"/>
          <w:szCs w:val="21"/>
          <w:highlight w:val="none"/>
        </w:rPr>
        <w:t>A]</w:t>
      </w:r>
      <w:r>
        <w:rPr>
          <w:rFonts w:hint="eastAsia" w:ascii="宋体" w:hAnsi="宋体"/>
          <w:szCs w:val="21"/>
          <w:highlight w:val="none"/>
          <w:lang w:eastAsia="zh-CN"/>
        </w:rPr>
        <w:t>适用剩余部分。</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w:t>
      </w:r>
      <w:r>
        <w:rPr>
          <w:rFonts w:hint="eastAsia" w:ascii="宋体" w:hAnsi="宋体"/>
          <w:szCs w:val="21"/>
        </w:rPr>
        <w:t>A]＝</w:t>
      </w:r>
      <w:r>
        <w:rPr>
          <w:rFonts w:ascii="宋体" w:hAnsi="宋体"/>
          <w:i/>
          <w:szCs w:val="21"/>
        </w:rPr>
        <w:t>Min</w:t>
      </w:r>
      <w:r>
        <w:rPr>
          <w:rFonts w:ascii="宋体" w:hAnsi="宋体"/>
          <w:szCs w:val="21"/>
        </w:rPr>
        <w:t>(</w:t>
      </w:r>
      <w:r>
        <w:rPr>
          <w:rFonts w:ascii="宋体" w:hAnsi="宋体"/>
          <w:i/>
          <w:szCs w:val="21"/>
        </w:rPr>
        <w:t>Average</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1.1.1</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1.1.2</w:t>
      </w:r>
      <w:r>
        <w:rPr>
          <w:rFonts w:hint="eastAsia" w:ascii="宋体" w:hAnsi="宋体"/>
          <w:szCs w:val="21"/>
        </w:rPr>
        <w:t>A]</w:t>
      </w:r>
      <w:r>
        <w:rPr>
          <w:rFonts w:ascii="宋体" w:hAnsi="宋体"/>
          <w:szCs w:val="21"/>
        </w:rPr>
        <w:t>),</w:t>
      </w:r>
    </w:p>
    <w:p>
      <w:pPr>
        <w:spacing w:line="440" w:lineRule="exact"/>
        <w:ind w:firstLine="420" w:firstLineChars="200"/>
        <w:rPr>
          <w:rFonts w:ascii="宋体" w:hAnsi="宋体"/>
          <w:i/>
          <w:szCs w:val="21"/>
        </w:rPr>
      </w:pP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1.1.1B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1.1.2B</w:t>
      </w:r>
      <w:r>
        <w:rPr>
          <w:rFonts w:hint="eastAsia" w:ascii="宋体" w:hAnsi="宋体"/>
          <w:szCs w:val="21"/>
        </w:rPr>
        <w:t>]</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1.1.1C</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1.1.2C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2.25%*</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1.1.3A</w:t>
      </w:r>
      <w:r>
        <w:rPr>
          <w:rFonts w:hint="eastAsia" w:ascii="宋体" w:hAnsi="宋体"/>
          <w:szCs w:val="21"/>
        </w:rPr>
        <w:t>], [1.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1.1.3B</w:t>
      </w:r>
      <w:r>
        <w:rPr>
          <w:rFonts w:hint="eastAsia" w:ascii="宋体" w:hAnsi="宋体"/>
          <w:szCs w:val="21"/>
        </w:rPr>
        <w:t>]</w:t>
      </w:r>
      <w:r>
        <w:rPr>
          <w:rFonts w:ascii="宋体" w:hAnsi="宋体"/>
          <w:szCs w:val="21"/>
        </w:rPr>
        <w:t>,</w:t>
      </w:r>
      <w:r>
        <w:rPr>
          <w:rFonts w:hint="eastAsia" w:ascii="宋体" w:hAnsi="宋体"/>
          <w:szCs w:val="21"/>
        </w:rPr>
        <w:t xml:space="preserve"> [1.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1.1.3C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1.1.4A</w:t>
      </w:r>
      <w:r>
        <w:rPr>
          <w:rFonts w:hint="eastAsia" w:ascii="宋体" w:hAnsi="宋体"/>
          <w:szCs w:val="21"/>
        </w:rPr>
        <w:t>], [1.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1.1.4B</w:t>
      </w:r>
      <w:r>
        <w:rPr>
          <w:rFonts w:hint="eastAsia" w:ascii="宋体" w:hAnsi="宋体"/>
          <w:szCs w:val="21"/>
        </w:rPr>
        <w:t>]</w:t>
      </w:r>
      <w:r>
        <w:rPr>
          <w:rFonts w:ascii="宋体" w:hAnsi="宋体"/>
          <w:szCs w:val="21"/>
        </w:rPr>
        <w:t>,</w:t>
      </w:r>
      <w:r>
        <w:rPr>
          <w:rFonts w:hint="eastAsia" w:ascii="宋体" w:hAnsi="宋体"/>
          <w:szCs w:val="21"/>
        </w:rPr>
        <w:t xml:space="preserve"> [1.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1.1.4C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A]＝</w:t>
      </w:r>
      <w:r>
        <w:rPr>
          <w:rFonts w:ascii="宋体" w:hAnsi="宋体"/>
          <w:i/>
          <w:szCs w:val="21"/>
        </w:rPr>
        <w:t>M</w:t>
      </w:r>
      <w:r>
        <w:rPr>
          <w:rFonts w:hint="eastAsia" w:ascii="宋体" w:hAnsi="宋体"/>
          <w:i/>
          <w:szCs w:val="21"/>
        </w:rPr>
        <w:t>ax</w:t>
      </w:r>
      <w:r>
        <w:rPr>
          <w:rFonts w:ascii="宋体" w:hAnsi="宋体"/>
          <w:szCs w:val="21"/>
        </w:rPr>
        <w:t>(</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1.2.1</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1.2.1B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1.2.1C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1.2.2</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1.2.2B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1.2.2C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w:t>
      </w:r>
      <w:r>
        <w:rPr>
          <w:rFonts w:ascii="宋体" w:hAnsi="宋体"/>
          <w:i/>
          <w:szCs w:val="21"/>
        </w:rPr>
        <w:t>M</w:t>
      </w:r>
      <w:r>
        <w:rPr>
          <w:rFonts w:hint="eastAsia" w:ascii="宋体" w:hAnsi="宋体"/>
          <w:i/>
          <w:szCs w:val="21"/>
        </w:rPr>
        <w:t>ax</w:t>
      </w:r>
      <w:r>
        <w:rPr>
          <w:rFonts w:ascii="宋体" w:hAnsi="宋体"/>
          <w:szCs w:val="21"/>
        </w:rPr>
        <w:t>(</w:t>
      </w: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1.2.3</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1.2.3B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1.2.3C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i/>
          <w:szCs w:val="21"/>
        </w:rPr>
        <w:t>Average</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1.2.4</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1.2.4B</w:t>
      </w:r>
      <w:r>
        <w:rPr>
          <w:rFonts w:hint="eastAsia" w:ascii="宋体" w:hAnsi="宋体"/>
          <w:szCs w:val="21"/>
        </w:rPr>
        <w:t>]</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1.2.4C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w:t>
      </w:r>
      <w:r>
        <w:rPr>
          <w:rFonts w:hint="eastAsia" w:ascii="宋体" w:hAnsi="宋体"/>
          <w:szCs w:val="21"/>
        </w:rPr>
        <w:t>A]=</w:t>
      </w:r>
    </w:p>
    <w:p>
      <w:pPr>
        <w:spacing w:line="440" w:lineRule="exact"/>
        <w:ind w:firstLine="420" w:firstLineChars="200"/>
        <w:rPr>
          <w:rFonts w:ascii="宋体" w:hAnsi="宋体"/>
          <w:szCs w:val="21"/>
        </w:rPr>
      </w:pPr>
      <w:r>
        <w:rPr>
          <w:rFonts w:ascii="宋体" w:hAnsi="宋体"/>
          <w:i/>
          <w:szCs w:val="21"/>
        </w:rPr>
        <w:t>Average</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1.3.1</w:t>
      </w:r>
      <w:r>
        <w:rPr>
          <w:rFonts w:hint="eastAsia" w:ascii="宋体" w:hAnsi="宋体"/>
          <w:szCs w:val="21"/>
        </w:rPr>
        <w:t>A]</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1.3.1B</w:t>
      </w:r>
      <w:r>
        <w:rPr>
          <w:rFonts w:hint="eastAsia" w:ascii="宋体" w:hAnsi="宋体"/>
          <w:szCs w:val="21"/>
        </w:rPr>
        <w:t>]</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1.3.1C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w:t>
      </w:r>
      <w:r>
        <w:rPr>
          <w:rFonts w:ascii="宋体" w:hAnsi="宋体"/>
          <w:i/>
          <w:szCs w:val="21"/>
        </w:rPr>
        <w:t>Average</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1.3.2</w:t>
      </w:r>
      <w:r>
        <w:rPr>
          <w:rFonts w:hint="eastAsia" w:ascii="宋体" w:hAnsi="宋体"/>
          <w:szCs w:val="21"/>
        </w:rPr>
        <w:t>A]</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1.3.2B</w:t>
      </w:r>
      <w:r>
        <w:rPr>
          <w:rFonts w:hint="eastAsia" w:ascii="宋体" w:hAnsi="宋体"/>
          <w:szCs w:val="21"/>
        </w:rPr>
        <w:t>]</w:t>
      </w:r>
      <w:r>
        <w:rPr>
          <w:rFonts w:ascii="宋体" w:hAnsi="宋体"/>
          <w:szCs w:val="21"/>
        </w:rPr>
        <w:t>),</w:t>
      </w:r>
      <w:r>
        <w:rPr>
          <w:rFonts w:ascii="宋体" w:hAnsi="宋体"/>
          <w:i/>
          <w:szCs w:val="21"/>
        </w:rPr>
        <w:t>Abs</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1.3.2C</w:t>
      </w:r>
      <w:r>
        <w:rPr>
          <w:rFonts w:hint="eastAsia" w:ascii="宋体" w:hAnsi="宋体"/>
          <w:szCs w:val="21"/>
        </w:rPr>
        <w:t>]</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以上公式中，</w:t>
      </w:r>
      <w:r>
        <w:rPr>
          <w:rFonts w:ascii="宋体" w:hAnsi="宋体"/>
          <w:i/>
          <w:szCs w:val="21"/>
        </w:rPr>
        <w:t>Min</w:t>
      </w:r>
      <w:r>
        <w:rPr>
          <w:rFonts w:hint="eastAsia" w:ascii="宋体" w:hAnsi="宋体"/>
          <w:szCs w:val="21"/>
        </w:rPr>
        <w:t>(</w:t>
      </w:r>
      <w:r>
        <w:rPr>
          <w:rFonts w:ascii="宋体" w:hAnsi="宋体"/>
          <w:szCs w:val="21"/>
        </w:rPr>
        <w:t>)</w:t>
      </w:r>
      <w:r>
        <w:rPr>
          <w:rFonts w:hint="eastAsia" w:ascii="宋体" w:hAnsi="宋体"/>
          <w:szCs w:val="21"/>
        </w:rPr>
        <w:t>代表取最小值，</w:t>
      </w:r>
      <w:r>
        <w:rPr>
          <w:rFonts w:ascii="宋体" w:hAnsi="宋体"/>
          <w:i/>
          <w:szCs w:val="21"/>
        </w:rPr>
        <w:t>M</w:t>
      </w:r>
      <w:r>
        <w:rPr>
          <w:rFonts w:hint="eastAsia" w:ascii="宋体" w:hAnsi="宋体"/>
          <w:i/>
          <w:szCs w:val="21"/>
        </w:rPr>
        <w:t>ax</w:t>
      </w:r>
      <w:r>
        <w:rPr>
          <w:rFonts w:hint="eastAsia" w:ascii="宋体" w:hAnsi="宋体"/>
          <w:szCs w:val="21"/>
        </w:rPr>
        <w:t>(</w:t>
      </w:r>
      <w:r>
        <w:rPr>
          <w:rFonts w:ascii="宋体" w:hAnsi="宋体"/>
          <w:szCs w:val="21"/>
        </w:rPr>
        <w:t>)</w:t>
      </w:r>
      <w:r>
        <w:rPr>
          <w:rFonts w:hint="eastAsia" w:ascii="宋体" w:hAnsi="宋体"/>
          <w:szCs w:val="21"/>
        </w:rPr>
        <w:t>代表取最大值，</w:t>
      </w:r>
      <w:r>
        <w:rPr>
          <w:rFonts w:ascii="宋体" w:hAnsi="宋体"/>
          <w:i/>
          <w:szCs w:val="21"/>
        </w:rPr>
        <w:t>Average</w:t>
      </w:r>
      <w:r>
        <w:rPr>
          <w:rFonts w:hint="eastAsia" w:ascii="宋体" w:hAnsi="宋体"/>
          <w:szCs w:val="21"/>
        </w:rPr>
        <w:t>(</w:t>
      </w:r>
      <w:r>
        <w:rPr>
          <w:rFonts w:ascii="宋体" w:hAnsi="宋体"/>
          <w:szCs w:val="21"/>
        </w:rPr>
        <w:t>)</w:t>
      </w:r>
      <w:r>
        <w:rPr>
          <w:rFonts w:hint="eastAsia" w:ascii="宋体" w:hAnsi="宋体"/>
          <w:szCs w:val="21"/>
        </w:rPr>
        <w:t>代表取平均值，</w:t>
      </w:r>
      <w:r>
        <w:rPr>
          <w:rFonts w:ascii="宋体" w:hAnsi="宋体"/>
          <w:i/>
          <w:szCs w:val="21"/>
        </w:rPr>
        <w:t>Abs</w:t>
      </w:r>
      <w:r>
        <w:rPr>
          <w:rFonts w:ascii="宋体" w:hAnsi="宋体"/>
          <w:szCs w:val="21"/>
        </w:rPr>
        <w:t>()</w:t>
      </w:r>
      <w:r>
        <w:rPr>
          <w:rFonts w:hint="eastAsia" w:ascii="宋体" w:hAnsi="宋体"/>
          <w:szCs w:val="21"/>
        </w:rPr>
        <w:t>代表取绝对值。</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1.4</w:t>
      </w:r>
      <w:r>
        <w:rPr>
          <w:rFonts w:hint="eastAsia" w:ascii="宋体" w:hAnsi="宋体"/>
          <w:szCs w:val="21"/>
        </w:rPr>
        <w:t>A]＝[1.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1.1</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1.2</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w:t>
      </w:r>
      <w:r>
        <w:rPr>
          <w:rFonts w:hint="eastAsia" w:ascii="宋体" w:hAnsi="宋体"/>
          <w:szCs w:val="21"/>
        </w:rPr>
        <w:t>.</w:t>
      </w:r>
      <w:r>
        <w:rPr>
          <w:rFonts w:ascii="宋体" w:hAnsi="宋体"/>
          <w:szCs w:val="21"/>
        </w:rPr>
        <w:t>1.3</w:t>
      </w:r>
      <w:r>
        <w:rPr>
          <w:rFonts w:hint="eastAsia" w:ascii="宋体" w:hAnsi="宋体"/>
          <w:szCs w:val="21"/>
        </w:rPr>
        <w:t>A]</w:t>
      </w:r>
    </w:p>
    <w:p>
      <w:pPr>
        <w:spacing w:line="440" w:lineRule="exact"/>
        <w:ind w:firstLine="420" w:firstLineChars="200"/>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2.4</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2.1</w:t>
      </w:r>
      <w:r>
        <w:rPr>
          <w:rFonts w:hint="eastAsia" w:ascii="宋体" w:hAnsi="宋体"/>
          <w:szCs w:val="21"/>
        </w:rPr>
        <w:t>A]</w:t>
      </w:r>
      <w:r>
        <w:rPr>
          <w:rFonts w:ascii="宋体" w:hAnsi="宋体"/>
          <w:szCs w:val="21"/>
        </w:rPr>
        <w:t>*</w:t>
      </w:r>
      <w:r>
        <w:rPr>
          <w:rFonts w:hint="eastAsia" w:ascii="宋体" w:hAnsi="宋体"/>
          <w:szCs w:val="21"/>
        </w:rPr>
        <w:t>[1.</w:t>
      </w:r>
      <w:r>
        <w:rPr>
          <w:rFonts w:ascii="宋体" w:hAnsi="宋体"/>
          <w:szCs w:val="21"/>
        </w:rPr>
        <w:t>2</w:t>
      </w:r>
      <w:r>
        <w:rPr>
          <w:rFonts w:hint="eastAsia" w:ascii="宋体" w:hAnsi="宋体"/>
          <w:szCs w:val="21"/>
        </w:rPr>
        <w:t>.</w:t>
      </w:r>
      <w:r>
        <w:rPr>
          <w:rFonts w:ascii="宋体" w:hAnsi="宋体"/>
          <w:szCs w:val="21"/>
        </w:rPr>
        <w:t>2.3</w:t>
      </w:r>
      <w:r>
        <w:rPr>
          <w:rFonts w:hint="eastAsia" w:ascii="宋体" w:hAnsi="宋体"/>
          <w:szCs w:val="21"/>
        </w:rPr>
        <w:t>A]</w:t>
      </w:r>
    </w:p>
    <w:p>
      <w:pPr>
        <w:spacing w:line="440" w:lineRule="exact"/>
        <w:ind w:firstLine="420" w:firstLineChars="200"/>
        <w:rPr>
          <w:rFonts w:hint="eastAsia" w:ascii="宋体" w:hAnsi="宋体" w:eastAsia="宋体"/>
          <w:szCs w:val="21"/>
          <w:lang w:val="en-US" w:eastAsia="zh-CN"/>
        </w:rPr>
      </w:pPr>
      <w:r>
        <w:rPr>
          <w:rFonts w:hint="eastAsia" w:ascii="宋体" w:hAnsi="宋体"/>
          <w:szCs w:val="21"/>
        </w:rPr>
        <w:t>[2.A]＝[1.1.2A]</w:t>
      </w:r>
      <w:r>
        <w:rPr>
          <w:rFonts w:hint="eastAsia" w:ascii="宋体" w:hAnsi="宋体"/>
          <w:szCs w:val="21"/>
          <w:lang w:val="en-US" w:eastAsia="zh-CN"/>
        </w:rPr>
        <w:t>+</w:t>
      </w:r>
      <w:r>
        <w:rPr>
          <w:rFonts w:hint="eastAsia" w:ascii="宋体" w:hAnsi="宋体"/>
          <w:szCs w:val="21"/>
        </w:rPr>
        <w:t>[1.</w:t>
      </w:r>
      <w:r>
        <w:rPr>
          <w:rFonts w:hint="eastAsia" w:ascii="宋体" w:hAnsi="宋体"/>
          <w:szCs w:val="21"/>
          <w:lang w:val="en-US" w:eastAsia="zh-CN"/>
        </w:rPr>
        <w:t>2</w:t>
      </w:r>
      <w:r>
        <w:rPr>
          <w:rFonts w:hint="eastAsia" w:ascii="宋体" w:hAnsi="宋体"/>
          <w:szCs w:val="21"/>
        </w:rPr>
        <w:t>.</w:t>
      </w:r>
      <w:r>
        <w:rPr>
          <w:rFonts w:hint="eastAsia" w:ascii="宋体" w:hAnsi="宋体"/>
          <w:szCs w:val="21"/>
          <w:lang w:val="en-US" w:eastAsia="zh-CN"/>
        </w:rPr>
        <w:t>3</w:t>
      </w:r>
      <w:r>
        <w:rPr>
          <w:rFonts w:hint="eastAsia" w:ascii="宋体" w:hAnsi="宋体"/>
          <w:szCs w:val="21"/>
        </w:rPr>
        <w:t>A]</w:t>
      </w:r>
    </w:p>
    <w:p>
      <w:pPr>
        <w:spacing w:line="440" w:lineRule="exact"/>
        <w:ind w:firstLine="420" w:firstLineChars="200"/>
        <w:rPr>
          <w:rFonts w:ascii="宋体" w:hAnsi="宋体"/>
          <w:szCs w:val="21"/>
        </w:rPr>
      </w:pPr>
      <w:r>
        <w:rPr>
          <w:rFonts w:hint="eastAsia" w:ascii="宋体" w:hAnsi="宋体"/>
          <w:szCs w:val="21"/>
        </w:rPr>
        <w:t>[3.A]＝[2.A]*12.5</w:t>
      </w:r>
    </w:p>
    <w:p>
      <w:pPr>
        <w:spacing w:line="440" w:lineRule="exact"/>
        <w:rPr>
          <w:rFonts w:ascii="宋体" w:hAnsi="宋体"/>
          <w:b/>
          <w:bCs/>
          <w:szCs w:val="21"/>
        </w:rPr>
      </w:pPr>
      <w:r>
        <w:rPr>
          <w:rFonts w:hint="eastAsia" w:ascii="宋体" w:hAnsi="宋体"/>
          <w:b/>
          <w:bCs/>
          <w:szCs w:val="21"/>
        </w:rPr>
        <w:t>第五部分：备注</w:t>
      </w:r>
    </w:p>
    <w:p>
      <w:pPr>
        <w:spacing w:line="440" w:lineRule="exact"/>
        <w:ind w:firstLine="420" w:firstLineChars="200"/>
        <w:rPr>
          <w:rFonts w:ascii="宋体" w:hAnsi="宋体"/>
          <w:szCs w:val="21"/>
        </w:rPr>
      </w:pPr>
      <w:r>
        <w:rPr>
          <w:rFonts w:hint="eastAsia" w:ascii="宋体" w:hAnsi="宋体"/>
          <w:szCs w:val="21"/>
        </w:rPr>
        <w:t>对于并购其他金融机构造成的收入或业务指标增加，填报机构应在并购完成后，对前三个完整自然年度的收入或业务指标进行追溯调整。</w:t>
      </w: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Verdana">
    <w:altName w:val="DejaVu Sans"/>
    <w:panose1 w:val="020B0604030504040204"/>
    <w:charset w:val="00"/>
    <w:family w:val="swiss"/>
    <w:pitch w:val="default"/>
    <w:sig w:usb0="00000000" w:usb1="00000000" w:usb2="00000010" w:usb3="00000000" w:csb0="0000019F" w:csb1="00000000"/>
  </w:font>
  <w:font w:name="Tahoma">
    <w:altName w:val="DejaVu Sans"/>
    <w:panose1 w:val="020B0604030504040204"/>
    <w:charset w:val="00"/>
    <w:family w:val="swiss"/>
    <w:pitch w:val="default"/>
    <w:sig w:usb0="00000000" w:usb1="00000000" w:usb2="00000029" w:usb3="00000000" w:csb0="000101FF" w:csb1="00000000"/>
  </w:font>
  <w:font w:name="Cambria Math">
    <w:altName w:val="DejaVu Math TeX Gyre"/>
    <w:panose1 w:val="02040503050406030204"/>
    <w:charset w:val="00"/>
    <w:family w:val="roman"/>
    <w:pitch w:val="default"/>
    <w:sig w:usb0="00000000" w:usb1="00000000" w:usb2="00000000" w:usb3="00000000" w:csb0="0000019F" w:csb1="00000000"/>
  </w:font>
  <w:font w:name="DejaVu Math TeX Gyre">
    <w:panose1 w:val="02000503000000000000"/>
    <w:charset w:val="00"/>
    <w:family w:val="auto"/>
    <w:pitch w:val="default"/>
    <w:sig w:usb0="A10000EF" w:usb1="4201F9EE" w:usb2="02000000" w:usb3="00000000" w:csb0="60000193" w:csb1="0DD40000"/>
  </w:font>
  <w:font w:name="MS Gothic">
    <w:altName w:val="宋体"/>
    <w:panose1 w:val="020B0609070205080204"/>
    <w:charset w:val="80"/>
    <w:family w:val="modern"/>
    <w:pitch w:val="default"/>
    <w:sig w:usb0="00000000" w:usb1="00000000"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&#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A26"/>
    <w:rsid w:val="00000798"/>
    <w:rsid w:val="000031DE"/>
    <w:rsid w:val="000076B8"/>
    <w:rsid w:val="00007B89"/>
    <w:rsid w:val="00015ADF"/>
    <w:rsid w:val="00021CAB"/>
    <w:rsid w:val="00022051"/>
    <w:rsid w:val="00035D7B"/>
    <w:rsid w:val="000578EC"/>
    <w:rsid w:val="0005792C"/>
    <w:rsid w:val="000670C0"/>
    <w:rsid w:val="000745DF"/>
    <w:rsid w:val="000763C8"/>
    <w:rsid w:val="00080C6F"/>
    <w:rsid w:val="000845C2"/>
    <w:rsid w:val="00084EC9"/>
    <w:rsid w:val="00086C33"/>
    <w:rsid w:val="000B0E8E"/>
    <w:rsid w:val="000B6778"/>
    <w:rsid w:val="000C243C"/>
    <w:rsid w:val="000C33D1"/>
    <w:rsid w:val="000D38E6"/>
    <w:rsid w:val="000D5A96"/>
    <w:rsid w:val="000D5D79"/>
    <w:rsid w:val="000E247D"/>
    <w:rsid w:val="000E2ED4"/>
    <w:rsid w:val="000E327E"/>
    <w:rsid w:val="00101643"/>
    <w:rsid w:val="00105229"/>
    <w:rsid w:val="00107B7B"/>
    <w:rsid w:val="00120AFD"/>
    <w:rsid w:val="00166DE8"/>
    <w:rsid w:val="00171AEF"/>
    <w:rsid w:val="001745A9"/>
    <w:rsid w:val="001A4A28"/>
    <w:rsid w:val="001B3E7A"/>
    <w:rsid w:val="001B45B8"/>
    <w:rsid w:val="001B6839"/>
    <w:rsid w:val="001B68C6"/>
    <w:rsid w:val="001E2C7E"/>
    <w:rsid w:val="001F37D7"/>
    <w:rsid w:val="001F4988"/>
    <w:rsid w:val="002008AB"/>
    <w:rsid w:val="00202FCA"/>
    <w:rsid w:val="002206B4"/>
    <w:rsid w:val="002248DE"/>
    <w:rsid w:val="00224B9D"/>
    <w:rsid w:val="002303F8"/>
    <w:rsid w:val="0023128B"/>
    <w:rsid w:val="00232D72"/>
    <w:rsid w:val="002364B9"/>
    <w:rsid w:val="00261E88"/>
    <w:rsid w:val="00263EF1"/>
    <w:rsid w:val="0027293B"/>
    <w:rsid w:val="00274DB9"/>
    <w:rsid w:val="00293E61"/>
    <w:rsid w:val="002A30F6"/>
    <w:rsid w:val="002A4C8A"/>
    <w:rsid w:val="002A63DF"/>
    <w:rsid w:val="002A68AE"/>
    <w:rsid w:val="002B30DC"/>
    <w:rsid w:val="002B5320"/>
    <w:rsid w:val="002C69D1"/>
    <w:rsid w:val="002D0690"/>
    <w:rsid w:val="002E4005"/>
    <w:rsid w:val="002E553E"/>
    <w:rsid w:val="00300FF6"/>
    <w:rsid w:val="0030397B"/>
    <w:rsid w:val="00314872"/>
    <w:rsid w:val="003167C1"/>
    <w:rsid w:val="0032236D"/>
    <w:rsid w:val="0032254D"/>
    <w:rsid w:val="0033242F"/>
    <w:rsid w:val="00342CBF"/>
    <w:rsid w:val="00343759"/>
    <w:rsid w:val="00346B89"/>
    <w:rsid w:val="00353CAD"/>
    <w:rsid w:val="00367557"/>
    <w:rsid w:val="00380F2E"/>
    <w:rsid w:val="003854F0"/>
    <w:rsid w:val="003B73C1"/>
    <w:rsid w:val="003D5BDF"/>
    <w:rsid w:val="004028E2"/>
    <w:rsid w:val="00416444"/>
    <w:rsid w:val="0042244C"/>
    <w:rsid w:val="00422637"/>
    <w:rsid w:val="00423BC8"/>
    <w:rsid w:val="00425E8E"/>
    <w:rsid w:val="0043565A"/>
    <w:rsid w:val="00440DF3"/>
    <w:rsid w:val="004671F1"/>
    <w:rsid w:val="004747BE"/>
    <w:rsid w:val="00476BDA"/>
    <w:rsid w:val="004831BF"/>
    <w:rsid w:val="004A0D58"/>
    <w:rsid w:val="004A3CFF"/>
    <w:rsid w:val="004B181E"/>
    <w:rsid w:val="004B52F7"/>
    <w:rsid w:val="004E0E5B"/>
    <w:rsid w:val="004E3ED9"/>
    <w:rsid w:val="0050181C"/>
    <w:rsid w:val="00504919"/>
    <w:rsid w:val="0052320E"/>
    <w:rsid w:val="005241BF"/>
    <w:rsid w:val="00524235"/>
    <w:rsid w:val="005327FD"/>
    <w:rsid w:val="00533B85"/>
    <w:rsid w:val="00551D8E"/>
    <w:rsid w:val="00554B5D"/>
    <w:rsid w:val="005550EC"/>
    <w:rsid w:val="00556D9D"/>
    <w:rsid w:val="0056224A"/>
    <w:rsid w:val="00565E4E"/>
    <w:rsid w:val="0057036B"/>
    <w:rsid w:val="00576036"/>
    <w:rsid w:val="00577FF4"/>
    <w:rsid w:val="0058206D"/>
    <w:rsid w:val="00586FC1"/>
    <w:rsid w:val="00592BAF"/>
    <w:rsid w:val="00595E40"/>
    <w:rsid w:val="005A036B"/>
    <w:rsid w:val="005A1C40"/>
    <w:rsid w:val="005A386A"/>
    <w:rsid w:val="005A79C5"/>
    <w:rsid w:val="005B2910"/>
    <w:rsid w:val="005B4DD1"/>
    <w:rsid w:val="005B62A5"/>
    <w:rsid w:val="005C5D4A"/>
    <w:rsid w:val="005D31D2"/>
    <w:rsid w:val="005D5D81"/>
    <w:rsid w:val="005D714A"/>
    <w:rsid w:val="005E4D6D"/>
    <w:rsid w:val="005E6963"/>
    <w:rsid w:val="005F20C0"/>
    <w:rsid w:val="005F6166"/>
    <w:rsid w:val="005F739D"/>
    <w:rsid w:val="006035B9"/>
    <w:rsid w:val="00610D65"/>
    <w:rsid w:val="00620B32"/>
    <w:rsid w:val="00633EFE"/>
    <w:rsid w:val="006371C1"/>
    <w:rsid w:val="00660387"/>
    <w:rsid w:val="00671C34"/>
    <w:rsid w:val="006747D8"/>
    <w:rsid w:val="00676214"/>
    <w:rsid w:val="00677F97"/>
    <w:rsid w:val="0068589B"/>
    <w:rsid w:val="006927AD"/>
    <w:rsid w:val="00697404"/>
    <w:rsid w:val="006B1A84"/>
    <w:rsid w:val="006C1D24"/>
    <w:rsid w:val="006D5422"/>
    <w:rsid w:val="006E0BF9"/>
    <w:rsid w:val="006E7373"/>
    <w:rsid w:val="006F56ED"/>
    <w:rsid w:val="00704074"/>
    <w:rsid w:val="007072A4"/>
    <w:rsid w:val="007075CC"/>
    <w:rsid w:val="00713329"/>
    <w:rsid w:val="007220B9"/>
    <w:rsid w:val="00732C8E"/>
    <w:rsid w:val="00733A80"/>
    <w:rsid w:val="00742D62"/>
    <w:rsid w:val="00754566"/>
    <w:rsid w:val="00770A17"/>
    <w:rsid w:val="00780821"/>
    <w:rsid w:val="00782A3D"/>
    <w:rsid w:val="007863AF"/>
    <w:rsid w:val="007B0678"/>
    <w:rsid w:val="007B6550"/>
    <w:rsid w:val="007D167A"/>
    <w:rsid w:val="007D3579"/>
    <w:rsid w:val="007F0344"/>
    <w:rsid w:val="007F13BA"/>
    <w:rsid w:val="007F1717"/>
    <w:rsid w:val="007F5D85"/>
    <w:rsid w:val="00805FA8"/>
    <w:rsid w:val="008121B6"/>
    <w:rsid w:val="008161D2"/>
    <w:rsid w:val="00825CAE"/>
    <w:rsid w:val="00833E7D"/>
    <w:rsid w:val="00840202"/>
    <w:rsid w:val="00840265"/>
    <w:rsid w:val="00840CA6"/>
    <w:rsid w:val="008424CA"/>
    <w:rsid w:val="00850063"/>
    <w:rsid w:val="008751B9"/>
    <w:rsid w:val="00875393"/>
    <w:rsid w:val="00885A26"/>
    <w:rsid w:val="00886027"/>
    <w:rsid w:val="00893FB5"/>
    <w:rsid w:val="00895BD0"/>
    <w:rsid w:val="00897E7E"/>
    <w:rsid w:val="008A1027"/>
    <w:rsid w:val="008A5399"/>
    <w:rsid w:val="008B19F4"/>
    <w:rsid w:val="008B76E3"/>
    <w:rsid w:val="008C7C87"/>
    <w:rsid w:val="008D0F2F"/>
    <w:rsid w:val="008D2418"/>
    <w:rsid w:val="008D32C9"/>
    <w:rsid w:val="008D5E6E"/>
    <w:rsid w:val="008E18CC"/>
    <w:rsid w:val="008E492D"/>
    <w:rsid w:val="008F16BD"/>
    <w:rsid w:val="00904201"/>
    <w:rsid w:val="00906B6C"/>
    <w:rsid w:val="0093211D"/>
    <w:rsid w:val="009322AF"/>
    <w:rsid w:val="00934E74"/>
    <w:rsid w:val="0094704B"/>
    <w:rsid w:val="00950C26"/>
    <w:rsid w:val="009518A8"/>
    <w:rsid w:val="00957764"/>
    <w:rsid w:val="00973F25"/>
    <w:rsid w:val="009803BC"/>
    <w:rsid w:val="00996F29"/>
    <w:rsid w:val="009B1F41"/>
    <w:rsid w:val="009B3B44"/>
    <w:rsid w:val="009C0A03"/>
    <w:rsid w:val="009C1BE3"/>
    <w:rsid w:val="009D05BB"/>
    <w:rsid w:val="009E7566"/>
    <w:rsid w:val="009F4D14"/>
    <w:rsid w:val="009F5610"/>
    <w:rsid w:val="00A029F1"/>
    <w:rsid w:val="00A036E8"/>
    <w:rsid w:val="00A0752A"/>
    <w:rsid w:val="00A11665"/>
    <w:rsid w:val="00A1698B"/>
    <w:rsid w:val="00A21B97"/>
    <w:rsid w:val="00A31258"/>
    <w:rsid w:val="00A32706"/>
    <w:rsid w:val="00A47481"/>
    <w:rsid w:val="00A47534"/>
    <w:rsid w:val="00A5010C"/>
    <w:rsid w:val="00A50ED8"/>
    <w:rsid w:val="00A5717F"/>
    <w:rsid w:val="00A77E2D"/>
    <w:rsid w:val="00A81E9A"/>
    <w:rsid w:val="00A843DC"/>
    <w:rsid w:val="00A86EB2"/>
    <w:rsid w:val="00A917DA"/>
    <w:rsid w:val="00A93B22"/>
    <w:rsid w:val="00AA1357"/>
    <w:rsid w:val="00AA2FBE"/>
    <w:rsid w:val="00AA4F64"/>
    <w:rsid w:val="00AF0F64"/>
    <w:rsid w:val="00AF5AC2"/>
    <w:rsid w:val="00B11253"/>
    <w:rsid w:val="00B15109"/>
    <w:rsid w:val="00B15ADA"/>
    <w:rsid w:val="00B30701"/>
    <w:rsid w:val="00B334D3"/>
    <w:rsid w:val="00B34D10"/>
    <w:rsid w:val="00B364EE"/>
    <w:rsid w:val="00B428C9"/>
    <w:rsid w:val="00B44F74"/>
    <w:rsid w:val="00B63D41"/>
    <w:rsid w:val="00B85F81"/>
    <w:rsid w:val="00B90935"/>
    <w:rsid w:val="00BA58E4"/>
    <w:rsid w:val="00BA64B8"/>
    <w:rsid w:val="00BB156E"/>
    <w:rsid w:val="00BB2DCA"/>
    <w:rsid w:val="00BC4DB5"/>
    <w:rsid w:val="00BC70D2"/>
    <w:rsid w:val="00BD124D"/>
    <w:rsid w:val="00BD3875"/>
    <w:rsid w:val="00BD5A73"/>
    <w:rsid w:val="00BE101C"/>
    <w:rsid w:val="00C045FD"/>
    <w:rsid w:val="00C05655"/>
    <w:rsid w:val="00C1055D"/>
    <w:rsid w:val="00C24C1D"/>
    <w:rsid w:val="00C41F22"/>
    <w:rsid w:val="00C42E99"/>
    <w:rsid w:val="00C43F66"/>
    <w:rsid w:val="00C47206"/>
    <w:rsid w:val="00C54B5D"/>
    <w:rsid w:val="00C56505"/>
    <w:rsid w:val="00C56B7A"/>
    <w:rsid w:val="00C66449"/>
    <w:rsid w:val="00C83DE1"/>
    <w:rsid w:val="00C8412C"/>
    <w:rsid w:val="00C8469C"/>
    <w:rsid w:val="00C86F6B"/>
    <w:rsid w:val="00C9191A"/>
    <w:rsid w:val="00C95C75"/>
    <w:rsid w:val="00CA0609"/>
    <w:rsid w:val="00CB0468"/>
    <w:rsid w:val="00CC508D"/>
    <w:rsid w:val="00CC70D6"/>
    <w:rsid w:val="00CD5489"/>
    <w:rsid w:val="00CE458A"/>
    <w:rsid w:val="00CE73EC"/>
    <w:rsid w:val="00D00460"/>
    <w:rsid w:val="00D038E8"/>
    <w:rsid w:val="00D22A62"/>
    <w:rsid w:val="00D23AA3"/>
    <w:rsid w:val="00D35A00"/>
    <w:rsid w:val="00D43741"/>
    <w:rsid w:val="00D5396F"/>
    <w:rsid w:val="00D6048B"/>
    <w:rsid w:val="00D76A38"/>
    <w:rsid w:val="00D92C84"/>
    <w:rsid w:val="00D934E1"/>
    <w:rsid w:val="00DA4D65"/>
    <w:rsid w:val="00DA5030"/>
    <w:rsid w:val="00DB4271"/>
    <w:rsid w:val="00DB42D9"/>
    <w:rsid w:val="00E017AE"/>
    <w:rsid w:val="00E0353E"/>
    <w:rsid w:val="00E17E90"/>
    <w:rsid w:val="00E53008"/>
    <w:rsid w:val="00E61399"/>
    <w:rsid w:val="00E63EBC"/>
    <w:rsid w:val="00E64A10"/>
    <w:rsid w:val="00E7032F"/>
    <w:rsid w:val="00E740B0"/>
    <w:rsid w:val="00E80694"/>
    <w:rsid w:val="00E92D33"/>
    <w:rsid w:val="00E968B5"/>
    <w:rsid w:val="00EA4351"/>
    <w:rsid w:val="00EA6CE2"/>
    <w:rsid w:val="00EB122F"/>
    <w:rsid w:val="00EC1E0F"/>
    <w:rsid w:val="00EC2E27"/>
    <w:rsid w:val="00ED30DB"/>
    <w:rsid w:val="00F126F7"/>
    <w:rsid w:val="00F26B24"/>
    <w:rsid w:val="00F37149"/>
    <w:rsid w:val="00F56EAF"/>
    <w:rsid w:val="00F66D8F"/>
    <w:rsid w:val="00F820C4"/>
    <w:rsid w:val="00F8564A"/>
    <w:rsid w:val="00F90016"/>
    <w:rsid w:val="00F948E2"/>
    <w:rsid w:val="00F95150"/>
    <w:rsid w:val="00FA2C0A"/>
    <w:rsid w:val="00FA5899"/>
    <w:rsid w:val="00FA7A5A"/>
    <w:rsid w:val="00FC49F2"/>
    <w:rsid w:val="00FD19D8"/>
    <w:rsid w:val="00FD5A48"/>
    <w:rsid w:val="00FE0F4D"/>
    <w:rsid w:val="00FE60D6"/>
    <w:rsid w:val="00FF2CA0"/>
    <w:rsid w:val="00FF519A"/>
    <w:rsid w:val="00FF7794"/>
    <w:rsid w:val="0F7BF763"/>
    <w:rsid w:val="13FB1591"/>
    <w:rsid w:val="1DFF69DF"/>
    <w:rsid w:val="1EDE2B8C"/>
    <w:rsid w:val="2ABE4ACA"/>
    <w:rsid w:val="2EEDF1F3"/>
    <w:rsid w:val="37FFF50C"/>
    <w:rsid w:val="3DD94648"/>
    <w:rsid w:val="5B9FC0DD"/>
    <w:rsid w:val="5DBED192"/>
    <w:rsid w:val="5DBF8779"/>
    <w:rsid w:val="633249B8"/>
    <w:rsid w:val="63DA67DE"/>
    <w:rsid w:val="63EFCD25"/>
    <w:rsid w:val="67FF9EE8"/>
    <w:rsid w:val="6EFF7230"/>
    <w:rsid w:val="6FD6A4E3"/>
    <w:rsid w:val="6FF71BFC"/>
    <w:rsid w:val="73A798AF"/>
    <w:rsid w:val="73FD451C"/>
    <w:rsid w:val="79EB990A"/>
    <w:rsid w:val="7ABBAD7A"/>
    <w:rsid w:val="7E7B48F6"/>
    <w:rsid w:val="7F5CBDB9"/>
    <w:rsid w:val="7FC31079"/>
    <w:rsid w:val="BADD82C3"/>
    <w:rsid w:val="BEDF81FE"/>
    <w:rsid w:val="BFFD2AB4"/>
    <w:rsid w:val="BFFFD58E"/>
    <w:rsid w:val="CFF18473"/>
    <w:rsid w:val="D7ED7754"/>
    <w:rsid w:val="E6378060"/>
    <w:rsid w:val="EEE6BDA7"/>
    <w:rsid w:val="EF78B0F3"/>
    <w:rsid w:val="EFE3046E"/>
    <w:rsid w:val="F7AFF365"/>
    <w:rsid w:val="FBBF55ED"/>
    <w:rsid w:val="FBDBFF80"/>
    <w:rsid w:val="FEEB8B1C"/>
    <w:rsid w:val="FFD45AA5"/>
    <w:rsid w:val="FFE528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0"/>
    <w:qFormat/>
    <w:uiPriority w:val="0"/>
    <w:pPr>
      <w:keepNext/>
      <w:jc w:val="center"/>
      <w:outlineLvl w:val="0"/>
    </w:pPr>
    <w:rPr>
      <w:rFonts w:eastAsia="黑体"/>
      <w:b/>
      <w:sz w:val="30"/>
      <w:szCs w:val="20"/>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Document Map"/>
    <w:basedOn w:val="1"/>
    <w:semiHidden/>
    <w:qFormat/>
    <w:uiPriority w:val="0"/>
    <w:pPr>
      <w:shd w:val="clear" w:color="auto" w:fill="000080"/>
    </w:pPr>
  </w:style>
  <w:style w:type="paragraph" w:styleId="4">
    <w:name w:val="Balloon Text"/>
    <w:basedOn w:val="1"/>
    <w:semiHidden/>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10">
    <w:name w:val="标题 1 字符"/>
    <w:link w:val="2"/>
    <w:qFormat/>
    <w:uiPriority w:val="0"/>
    <w:rPr>
      <w:rFonts w:eastAsia="黑体"/>
      <w:b/>
      <w:kern w:val="2"/>
      <w:sz w:val="30"/>
      <w:lang w:val="en-US" w:eastAsia="zh-CN" w:bidi="ar-SA"/>
    </w:rPr>
  </w:style>
  <w:style w:type="paragraph" w:customStyle="1" w:styleId="11">
    <w:name w:val="_Style 2"/>
    <w:basedOn w:val="1"/>
    <w:qFormat/>
    <w:uiPriority w:val="0"/>
    <w:pPr>
      <w:widowControl/>
      <w:spacing w:after="160" w:line="240" w:lineRule="exact"/>
      <w:jc w:val="left"/>
    </w:pPr>
    <w:rPr>
      <w:rFonts w:ascii="Verdana" w:hAnsi="Verdana" w:cs="Verdana"/>
      <w:kern w:val="0"/>
      <w:sz w:val="20"/>
      <w:szCs w:val="20"/>
      <w:lang w:eastAsia="en-US"/>
    </w:rPr>
  </w:style>
  <w:style w:type="paragraph" w:customStyle="1" w:styleId="12">
    <w:name w:val="默认段落字体 Para Char Char Char Char Char Char Char Char Char1 Char Char Char Char Char Char Char Char Char Char Char Char Char Char Char Char Char Char Char Char Char Char Char Char Char Char Char Char Char Char Char"/>
    <w:basedOn w:val="3"/>
    <w:qFormat/>
    <w:uiPriority w:val="0"/>
    <w:pPr>
      <w:jc w:val="left"/>
    </w:pPr>
    <w:rPr>
      <w:rFonts w:ascii="Tahoma" w:hAnsi="Tahoma"/>
      <w:sz w:val="24"/>
      <w:szCs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CBRC</Company>
  <Pages>9</Pages>
  <Words>1412</Words>
  <Characters>8050</Characters>
  <Lines>67</Lines>
  <Paragraphs>18</Paragraphs>
  <TotalTime>2</TotalTime>
  <ScaleCrop>false</ScaleCrop>
  <LinksUpToDate>false</LinksUpToDate>
  <CharactersWithSpaces>9444</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2022-07-15T00:09:00Z</dcterms:created>
  <dc:creator>刘琦</dc:creator>
  <cp:lastModifiedBy>王雅洁</cp:lastModifiedBy>
  <dcterms:modified xsi:type="dcterms:W3CDTF">2024-12-13T10:20:27Z</dcterms:modified>
  <cp:revision>253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88826A07AF21554C56A52865D4A8E54E</vt:lpwstr>
  </property>
</Properties>
</file>