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Times New Roman" w:hAnsi="Times New Roman"/>
        </w:rPr>
      </w:pPr>
      <w:bookmarkStart w:id="0" w:name="_Toc352575131"/>
      <w:bookmarkStart w:id="1" w:name="_Toc349141682"/>
      <w:bookmarkStart w:id="2" w:name="_Toc379555453"/>
      <w:r>
        <w:rPr>
          <w:rFonts w:hint="eastAsia" w:ascii="Times New Roman" w:hAnsi="Times New Roman"/>
        </w:rPr>
        <w:t>G4C_II 市场风险标准法资本要求情况表(新规)填报说明</w:t>
      </w:r>
      <w:bookmarkEnd w:id="0"/>
      <w:bookmarkEnd w:id="1"/>
      <w:bookmarkEnd w:id="2"/>
    </w:p>
    <w:p/>
    <w:p>
      <w:pPr>
        <w:spacing w:line="440" w:lineRule="exact"/>
        <w:rPr>
          <w:b/>
          <w:szCs w:val="21"/>
        </w:rPr>
      </w:pPr>
      <w:r>
        <w:rPr>
          <w:rFonts w:hint="eastAsia"/>
          <w:b/>
          <w:szCs w:val="21"/>
        </w:rPr>
        <w:t>第一部分：引言</w:t>
      </w:r>
    </w:p>
    <w:p>
      <w:pPr>
        <w:spacing w:line="440" w:lineRule="exact"/>
        <w:ind w:firstLine="539" w:firstLineChars="257"/>
        <w:rPr>
          <w:szCs w:val="21"/>
        </w:rPr>
      </w:pPr>
      <w:r>
        <w:rPr>
          <w:rFonts w:hint="eastAsia"/>
          <w:szCs w:val="21"/>
        </w:rPr>
        <w:t>本表依据《商业银行资本管理办法》（以下简称《办法》）制定。本表反映填报机构标准法下的市场风险资本要求情况。</w:t>
      </w:r>
    </w:p>
    <w:p>
      <w:pPr>
        <w:spacing w:line="440" w:lineRule="exact"/>
        <w:rPr>
          <w:b/>
          <w:szCs w:val="21"/>
        </w:rPr>
      </w:pPr>
      <w:r>
        <w:rPr>
          <w:rFonts w:hint="eastAsia"/>
          <w:b/>
          <w:szCs w:val="21"/>
        </w:rPr>
        <w:t>第二部分：一般说明</w:t>
      </w:r>
    </w:p>
    <w:p>
      <w:pPr>
        <w:spacing w:line="440" w:lineRule="exact"/>
        <w:ind w:firstLine="539" w:firstLineChars="257"/>
        <w:rPr>
          <w:szCs w:val="21"/>
        </w:rPr>
      </w:pPr>
      <w:r>
        <w:rPr>
          <w:rFonts w:hint="eastAsia"/>
          <w:szCs w:val="21"/>
        </w:rPr>
        <w:t>1. 报表名称：市场风险标准法资本要求情况表。</w:t>
      </w:r>
    </w:p>
    <w:p>
      <w:pPr>
        <w:spacing w:line="440" w:lineRule="exact"/>
        <w:ind w:firstLine="539" w:firstLineChars="257"/>
        <w:rPr>
          <w:szCs w:val="21"/>
        </w:rPr>
      </w:pPr>
      <w:r>
        <w:rPr>
          <w:rFonts w:hint="eastAsia"/>
          <w:szCs w:val="21"/>
        </w:rPr>
        <w:t>2. 报表编码：</w:t>
      </w:r>
      <w:r>
        <w:rPr>
          <w:rFonts w:hint="eastAsia"/>
          <w:szCs w:val="21"/>
          <w:lang w:eastAsia="zh-CN"/>
        </w:rPr>
        <w:t>金</w:t>
      </w:r>
      <w:bookmarkStart w:id="7" w:name="_GoBack"/>
      <w:bookmarkEnd w:id="7"/>
      <w:r>
        <w:rPr>
          <w:rFonts w:hint="eastAsia"/>
          <w:szCs w:val="21"/>
        </w:rPr>
        <w:t>监统</w:t>
      </w:r>
      <w:r>
        <w:rPr>
          <w:szCs w:val="21"/>
        </w:rPr>
        <w:t>0052</w:t>
      </w:r>
      <w:r>
        <w:rPr>
          <w:rFonts w:hint="eastAsia"/>
          <w:szCs w:val="21"/>
        </w:rPr>
        <w:t>号。</w:t>
      </w:r>
    </w:p>
    <w:p>
      <w:pPr>
        <w:spacing w:line="440" w:lineRule="exact"/>
        <w:ind w:firstLine="539" w:firstLineChars="257"/>
        <w:rPr>
          <w:rFonts w:ascii="宋体" w:hAnsi="宋体"/>
          <w:szCs w:val="21"/>
        </w:rPr>
      </w:pPr>
      <w:r>
        <w:rPr>
          <w:rFonts w:hint="eastAsia"/>
          <w:szCs w:val="21"/>
        </w:rPr>
        <w:t>3. 填报机构：</w:t>
      </w:r>
      <w:r>
        <w:rPr>
          <w:rFonts w:hint="eastAsia" w:ascii="宋体" w:hAnsi="宋体"/>
          <w:szCs w:val="21"/>
        </w:rPr>
        <w:t>开发性金融机构和政策性银</w:t>
      </w:r>
      <w:r>
        <w:rPr>
          <w:rFonts w:ascii="宋体" w:hAnsi="宋体"/>
          <w:szCs w:val="21"/>
        </w:rPr>
        <w:t>行</w:t>
      </w:r>
      <w:r>
        <w:rPr>
          <w:rFonts w:hint="eastAsia"/>
          <w:szCs w:val="21"/>
        </w:rPr>
        <w:t>、大型商业银行（含邮储银行）</w:t>
      </w:r>
      <w:r>
        <w:rPr>
          <w:rFonts w:hint="eastAsia" w:ascii="宋体" w:hAnsi="宋体"/>
          <w:szCs w:val="21"/>
        </w:rPr>
        <w:t>、股份制商业银行、城市商业银行、民营银行、农村商业银行、农村合作银行、外资法人银行、外国银行分行（仅报送人民币账户）。</w:t>
      </w:r>
    </w:p>
    <w:p>
      <w:pPr>
        <w:spacing w:line="440" w:lineRule="exact"/>
        <w:ind w:firstLine="539" w:firstLineChars="257"/>
        <w:rPr>
          <w:szCs w:val="21"/>
        </w:rPr>
      </w:pPr>
      <w:r>
        <w:rPr>
          <w:rFonts w:hint="eastAsia" w:ascii="宋体" w:hAnsi="宋体"/>
          <w:szCs w:val="21"/>
        </w:rPr>
        <w:t>农村信用合作社、村镇银行、农村资金互助社、贷款公司、企业集团财务公司、金融租赁公司、汽车金融公司和消费金融公司将该表作为计算资本充足率的工作底稿，无需正式报送。</w:t>
      </w:r>
    </w:p>
    <w:p>
      <w:pPr>
        <w:spacing w:line="440" w:lineRule="exact"/>
        <w:ind w:firstLine="539" w:firstLineChars="257"/>
        <w:rPr>
          <w:szCs w:val="21"/>
        </w:rPr>
      </w:pPr>
      <w:r>
        <w:rPr>
          <w:rFonts w:hint="eastAsia"/>
          <w:szCs w:val="21"/>
        </w:rPr>
        <w:t>4. 报送口径、频度及时间：</w:t>
      </w:r>
      <w:r>
        <w:rPr>
          <w:rFonts w:hint="eastAsia" w:ascii="宋体" w:hAnsi="宋体"/>
          <w:szCs w:val="21"/>
        </w:rPr>
        <w:t>法人汇总数据（月</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月</w:t>
      </w:r>
      <w:r>
        <w:rPr>
          <w:rFonts w:ascii="宋体" w:hAnsi="宋体"/>
          <w:szCs w:val="21"/>
        </w:rPr>
        <w:t>后</w:t>
      </w:r>
      <w:r>
        <w:rPr>
          <w:rFonts w:hint="eastAsia" w:ascii="宋体" w:hAnsi="宋体"/>
          <w:szCs w:val="21"/>
          <w:lang w:val="en-US" w:eastAsia="zh-CN"/>
        </w:rPr>
        <w:t>13</w:t>
      </w:r>
      <w:r>
        <w:rPr>
          <w:rFonts w:ascii="宋体" w:hAnsi="宋体"/>
          <w:szCs w:val="21"/>
        </w:rPr>
        <w:t>日</w:t>
      </w:r>
      <w:r>
        <w:rPr>
          <w:rFonts w:hint="eastAsia" w:ascii="宋体" w:hAnsi="宋体"/>
          <w:szCs w:val="21"/>
        </w:rPr>
        <w:t>内，合并报表数据（季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539" w:firstLineChars="257"/>
        <w:rPr>
          <w:szCs w:val="21"/>
        </w:rPr>
      </w:pPr>
      <w:r>
        <w:rPr>
          <w:rFonts w:hint="eastAsia"/>
          <w:szCs w:val="21"/>
        </w:rPr>
        <w:t>5. 报送方式：</w:t>
      </w:r>
      <w:r>
        <w:rPr>
          <w:rFonts w:ascii="宋体" w:hAnsi="宋体"/>
          <w:szCs w:val="21"/>
        </w:rPr>
        <w:t>以电子报表形式报送国家金融监督管理总局。</w:t>
      </w:r>
    </w:p>
    <w:p>
      <w:pPr>
        <w:spacing w:line="440" w:lineRule="exact"/>
        <w:ind w:firstLine="539" w:firstLineChars="257"/>
        <w:rPr>
          <w:rFonts w:ascii="宋体" w:hAnsi="宋体"/>
          <w:szCs w:val="21"/>
        </w:rPr>
      </w:pPr>
      <w:r>
        <w:rPr>
          <w:rFonts w:hint="eastAsia"/>
          <w:szCs w:val="21"/>
        </w:rPr>
        <w:t>6. 数据单位：</w:t>
      </w:r>
      <w:r>
        <w:rPr>
          <w:rFonts w:ascii="宋体" w:hAnsi="宋体"/>
          <w:szCs w:val="21"/>
        </w:rPr>
        <w:t>万元。</w:t>
      </w:r>
    </w:p>
    <w:p>
      <w:pPr>
        <w:spacing w:line="440" w:lineRule="exact"/>
        <w:ind w:firstLine="539" w:firstLineChars="257"/>
        <w:rPr>
          <w:szCs w:val="21"/>
        </w:rPr>
      </w:pPr>
      <w:r>
        <w:rPr>
          <w:rFonts w:hint="eastAsia"/>
          <w:szCs w:val="21"/>
        </w:rPr>
        <w:t>7. 四舍五入要求：</w:t>
      </w:r>
      <w:r>
        <w:rPr>
          <w:rFonts w:ascii="宋体" w:hAnsi="宋体"/>
          <w:szCs w:val="21"/>
        </w:rPr>
        <w:t>金额保留</w:t>
      </w:r>
      <w:r>
        <w:rPr>
          <w:rFonts w:hint="eastAsia" w:ascii="宋体" w:hAnsi="宋体"/>
          <w:szCs w:val="21"/>
        </w:rPr>
        <w:t>两位小数</w:t>
      </w:r>
      <w:r>
        <w:rPr>
          <w:rFonts w:ascii="宋体" w:hAnsi="宋体"/>
          <w:szCs w:val="21"/>
        </w:rPr>
        <w:t>。</w:t>
      </w:r>
    </w:p>
    <w:p>
      <w:pPr>
        <w:spacing w:line="440" w:lineRule="exact"/>
        <w:ind w:firstLine="525" w:firstLineChars="250"/>
        <w:rPr>
          <w:rFonts w:ascii="宋体" w:hAnsi="宋体"/>
          <w:szCs w:val="21"/>
        </w:rPr>
      </w:pPr>
      <w:r>
        <w:rPr>
          <w:rFonts w:hint="eastAsia"/>
          <w:szCs w:val="21"/>
        </w:rPr>
        <w:t>8. 填报货币：</w:t>
      </w:r>
      <w:r>
        <w:rPr>
          <w:rFonts w:hint="eastAsia" w:ascii="宋体" w:hAnsi="宋体"/>
          <w:szCs w:val="21"/>
        </w:rPr>
        <w:t>本表按本外币合计人民币填报。银行业金融机构将外币折算为人民币时，应按照报告期末最后一天国家外汇管理局公布的人民币兑美元、欧元、日元和港币的基准汇价进行折算。</w:t>
      </w:r>
      <w:r>
        <w:rPr>
          <w:rFonts w:ascii="宋体" w:hAnsi="宋体"/>
          <w:szCs w:val="21"/>
        </w:rPr>
        <w:t>美元、</w:t>
      </w:r>
      <w:r>
        <w:rPr>
          <w:rFonts w:hint="eastAsia" w:ascii="宋体" w:hAnsi="宋体"/>
          <w:szCs w:val="21"/>
        </w:rPr>
        <w:t>欧元、</w:t>
      </w:r>
      <w:r>
        <w:rPr>
          <w:rFonts w:ascii="宋体" w:hAnsi="宋体"/>
          <w:szCs w:val="21"/>
        </w:rPr>
        <w:t>日元</w:t>
      </w:r>
      <w:r>
        <w:rPr>
          <w:rFonts w:hint="eastAsia" w:ascii="宋体" w:hAnsi="宋体"/>
          <w:szCs w:val="21"/>
        </w:rPr>
        <w:t>和</w:t>
      </w:r>
      <w:r>
        <w:rPr>
          <w:rFonts w:ascii="宋体" w:hAnsi="宋体"/>
          <w:szCs w:val="21"/>
        </w:rPr>
        <w:t>港币等</w:t>
      </w:r>
      <w:r>
        <w:rPr>
          <w:rFonts w:hint="eastAsia" w:ascii="宋体" w:hAnsi="宋体"/>
          <w:szCs w:val="21"/>
        </w:rPr>
        <w:t>四种主要货币</w:t>
      </w:r>
      <w:r>
        <w:rPr>
          <w:rFonts w:ascii="宋体" w:hAnsi="宋体"/>
          <w:szCs w:val="21"/>
        </w:rPr>
        <w:t>以外的其他货币对人民币的</w:t>
      </w:r>
      <w:r>
        <w:rPr>
          <w:rFonts w:hint="eastAsia" w:ascii="宋体" w:hAnsi="宋体"/>
          <w:szCs w:val="21"/>
        </w:rPr>
        <w:t>折算</w:t>
      </w:r>
      <w:r>
        <w:rPr>
          <w:rFonts w:ascii="宋体" w:hAnsi="宋体"/>
          <w:szCs w:val="21"/>
        </w:rPr>
        <w:t>汇率，</w:t>
      </w:r>
      <w:r>
        <w:rPr>
          <w:rFonts w:hint="eastAsia" w:ascii="宋体" w:hAnsi="宋体"/>
          <w:szCs w:val="21"/>
        </w:rPr>
        <w:t>以报告期末最后一天</w:t>
      </w:r>
      <w:r>
        <w:rPr>
          <w:rFonts w:ascii="宋体" w:hAnsi="宋体"/>
          <w:szCs w:val="21"/>
        </w:rPr>
        <w:t>美元对人民币的基准汇率与</w:t>
      </w:r>
      <w:r>
        <w:rPr>
          <w:rFonts w:hint="eastAsia" w:ascii="宋体" w:hAnsi="宋体"/>
          <w:szCs w:val="21"/>
        </w:rPr>
        <w:t>同一天</w:t>
      </w:r>
      <w:r>
        <w:rPr>
          <w:rFonts w:ascii="宋体" w:hAnsi="宋体"/>
          <w:szCs w:val="21"/>
        </w:rPr>
        <w:t>上午9时国际外汇市场</w:t>
      </w:r>
      <w:r>
        <w:rPr>
          <w:rFonts w:hint="eastAsia" w:ascii="宋体" w:hAnsi="宋体"/>
          <w:szCs w:val="21"/>
        </w:rPr>
        <w:t>其他货币</w:t>
      </w:r>
      <w:r>
        <w:rPr>
          <w:rFonts w:ascii="宋体" w:hAnsi="宋体"/>
          <w:szCs w:val="21"/>
        </w:rPr>
        <w:t>兑美元汇率套算确定。</w:t>
      </w:r>
    </w:p>
    <w:p>
      <w:pPr>
        <w:spacing w:line="440" w:lineRule="exact"/>
        <w:rPr>
          <w:szCs w:val="21"/>
        </w:rPr>
      </w:pPr>
      <w:r>
        <w:rPr>
          <w:rFonts w:hint="eastAsia"/>
          <w:b/>
          <w:szCs w:val="21"/>
        </w:rPr>
        <w:t>第三部分：具体说明</w:t>
      </w:r>
    </w:p>
    <w:p>
      <w:pPr>
        <w:spacing w:line="440" w:lineRule="exact"/>
        <w:ind w:firstLine="472" w:firstLineChars="225"/>
        <w:rPr>
          <w:szCs w:val="21"/>
        </w:rPr>
      </w:pPr>
      <w:r>
        <w:rPr>
          <w:rFonts w:hint="eastAsia"/>
          <w:szCs w:val="21"/>
        </w:rPr>
        <w:t>本表反映填报机构市场风险资本要求总体情况。</w:t>
      </w:r>
    </w:p>
    <w:p>
      <w:pPr>
        <w:spacing w:line="440" w:lineRule="exact"/>
        <w:ind w:firstLine="472" w:firstLineChars="225"/>
        <w:rPr>
          <w:szCs w:val="21"/>
        </w:rPr>
      </w:pPr>
      <w:r>
        <w:rPr>
          <w:rFonts w:hint="eastAsia"/>
          <w:szCs w:val="21"/>
        </w:rPr>
        <w:t>填报机构市场风险资本要求应覆盖商业银行交易账簿中的违约风险、一般利率风险、信用利差风险、股票风险，以及全账簿汇率风险和商品风险。填报机构</w:t>
      </w:r>
      <w:bookmarkStart w:id="3" w:name="OLE_LINK2"/>
      <w:bookmarkStart w:id="4" w:name="OLE_LINK1"/>
      <w:r>
        <w:rPr>
          <w:rFonts w:hint="eastAsia"/>
          <w:szCs w:val="21"/>
        </w:rPr>
        <w:t>可以不对结构性外汇头寸、资本扣除项对应的外汇头寸计提汇率风险资本要求。</w:t>
      </w:r>
      <w:bookmarkEnd w:id="3"/>
      <w:bookmarkEnd w:id="4"/>
    </w:p>
    <w:p>
      <w:pPr>
        <w:spacing w:line="440" w:lineRule="exact"/>
        <w:ind w:firstLine="472" w:firstLineChars="225"/>
        <w:rPr>
          <w:szCs w:val="21"/>
        </w:rPr>
      </w:pPr>
      <w:r>
        <w:rPr>
          <w:rFonts w:hint="eastAsia"/>
          <w:szCs w:val="21"/>
        </w:rPr>
        <w:t>填报机构应根据《办法》附件13划分交易账簿和银行账簿。其中，附件1</w:t>
      </w:r>
      <w:r>
        <w:rPr>
          <w:szCs w:val="21"/>
        </w:rPr>
        <w:t>3</w:t>
      </w:r>
      <w:r>
        <w:rPr>
          <w:rFonts w:hint="eastAsia"/>
          <w:szCs w:val="21"/>
        </w:rPr>
        <w:t>第一部分（三）中提到的“会产生银行账簿信用净空头头寸或股权净空头头寸的金融工具”，包括股权价格下跌或者债券发行人信用利差扩大，导致银行账簿的账面价值增加的情形。例如银行使用CDS对冲银行账簿贷款的信用风险时，可能因过度对冲导致银行账簿产生信用净空头头寸。</w:t>
      </w:r>
    </w:p>
    <w:p>
      <w:pPr>
        <w:spacing w:line="440" w:lineRule="exact"/>
        <w:ind w:firstLine="472" w:firstLineChars="225"/>
        <w:rPr>
          <w:szCs w:val="21"/>
        </w:rPr>
      </w:pPr>
      <w:r>
        <w:rPr>
          <w:rFonts w:hint="eastAsia"/>
          <w:szCs w:val="21"/>
        </w:rPr>
        <w:t>商业银行应为结构性外汇头寸制定风险管理政策并报送国家金融监督管理总局或其派出机构，书面记录不计提资本要求的头寸金额以备审查。结构性外汇头寸存续期内资本要求的处理需保持一致，扣除期限至少为6个月。</w:t>
      </w:r>
    </w:p>
    <w:p>
      <w:pPr>
        <w:spacing w:line="440" w:lineRule="exact"/>
        <w:ind w:firstLine="472" w:firstLineChars="225"/>
        <w:rPr>
          <w:szCs w:val="21"/>
        </w:rPr>
      </w:pPr>
      <w:r>
        <w:rPr>
          <w:rFonts w:hint="eastAsia"/>
          <w:szCs w:val="21"/>
        </w:rPr>
        <w:t>结构性外汇头寸可来自以下事项：</w:t>
      </w:r>
    </w:p>
    <w:p>
      <w:pPr>
        <w:spacing w:line="440" w:lineRule="exact"/>
        <w:ind w:firstLine="472" w:firstLineChars="225"/>
        <w:rPr>
          <w:szCs w:val="21"/>
        </w:rPr>
      </w:pPr>
      <w:r>
        <w:rPr>
          <w:rFonts w:hint="eastAsia"/>
          <w:szCs w:val="21"/>
        </w:rPr>
        <w:t>（1）对以外币计量的非并表关联企业的投资；</w:t>
      </w:r>
    </w:p>
    <w:p>
      <w:pPr>
        <w:spacing w:line="440" w:lineRule="exact"/>
        <w:ind w:firstLine="472" w:firstLineChars="225"/>
        <w:rPr>
          <w:szCs w:val="21"/>
        </w:rPr>
      </w:pPr>
      <w:r>
        <w:rPr>
          <w:rFonts w:hint="eastAsia"/>
          <w:szCs w:val="21"/>
        </w:rPr>
        <w:t>（2）对以外币计量的并表子公司或分支机构的投资；</w:t>
      </w:r>
    </w:p>
    <w:p>
      <w:pPr>
        <w:spacing w:line="440" w:lineRule="exact"/>
        <w:ind w:firstLine="472" w:firstLineChars="225"/>
        <w:rPr>
          <w:szCs w:val="21"/>
        </w:rPr>
      </w:pPr>
      <w:r>
        <w:rPr>
          <w:rFonts w:hint="eastAsia"/>
          <w:szCs w:val="21"/>
        </w:rPr>
        <w:t>（3）其他符合结构性外汇头寸定义的外汇头寸。</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对上述第（3）项，法人口径下，可包括境外分支机构因经营积累形成的权益项目；并表口径下，可包括境外附属公司经营形成的相关权益项目，如外币留存收益。上述权益主要用于开展经营，与资产负债匹配，可起到保护资本充足率的作用。</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对于商业银行吸收的外币资本金（含附属机构发行的外币资本工具），如能够证明其起到了保护资本充足率不受汇率变化影响的作用，可向国家金融监督管理总局或其派出机构申请，经认可后，商业银行可将该部分头寸作为结构性外汇头寸予以扣除。</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商业银行计入结构性外汇头寸的金额应与对应的实际外汇头寸相匹配。如法人口径下，商业银行针对采用成本法核算的外币长期股权投资，不得将该投资对应的附属公司外币留存收益作为结构性外汇头寸予以扣除。这是因为附属公司外币留存收益体现在附属公司的资产负债表，而不体现在母公司的资产负债表，不计入母公司法人口径下的实际外汇头寸。</w:t>
      </w:r>
    </w:p>
    <w:p>
      <w:pPr>
        <w:spacing w:line="440" w:lineRule="exact"/>
        <w:ind w:firstLine="472" w:firstLineChars="225"/>
        <w:rPr>
          <w:rFonts w:hint="eastAsia"/>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此外，对于固定资产和物业、无形资产等资产端项目，不应作为结构性外汇头寸扣除。</w:t>
      </w:r>
    </w:p>
    <w:p>
      <w:pPr>
        <w:tabs>
          <w:tab w:val="left" w:pos="720"/>
        </w:tabs>
        <w:spacing w:line="440" w:lineRule="exact"/>
        <w:ind w:firstLine="472" w:firstLineChars="225"/>
        <w:rPr>
          <w:rFonts w:ascii="宋体" w:hAnsi="宋体"/>
          <w:szCs w:val="21"/>
        </w:rPr>
      </w:pPr>
      <w:bookmarkStart w:id="5" w:name="_Hlk151822821"/>
      <w:r>
        <w:rPr>
          <w:rFonts w:hint="eastAsia"/>
          <w:szCs w:val="21"/>
        </w:rPr>
        <w:t>对于交易账簿下拆借、回购和债券借贷，填报机构应计提上述工具的一般利率风险、汇率风险（若有）、商品风险（若有）的一般风险的资本要求，无需计提</w:t>
      </w:r>
      <w:r>
        <w:rPr>
          <w:rFonts w:hint="eastAsia"/>
          <w:szCs w:val="21"/>
          <w:highlight w:val="none"/>
        </w:rPr>
        <w:t>信用利差</w:t>
      </w:r>
      <w:r>
        <w:rPr>
          <w:rFonts w:hint="eastAsia"/>
          <w:szCs w:val="21"/>
        </w:rPr>
        <w:t>风险</w:t>
      </w:r>
      <w:r>
        <w:rPr>
          <w:rFonts w:hint="eastAsia"/>
          <w:szCs w:val="21"/>
          <w:highlight w:val="none"/>
        </w:rPr>
        <w:t>和违约风险</w:t>
      </w:r>
      <w:r>
        <w:rPr>
          <w:rFonts w:hint="eastAsia"/>
          <w:szCs w:val="21"/>
        </w:rPr>
        <w:t>资本要求。同时，应参照附件</w:t>
      </w:r>
      <w:r>
        <w:rPr>
          <w:szCs w:val="21"/>
        </w:rPr>
        <w:t>9</w:t>
      </w:r>
      <w:r>
        <w:rPr>
          <w:rFonts w:hint="eastAsia"/>
          <w:szCs w:val="21"/>
        </w:rPr>
        <w:t>交易对手信用风险框架下交易账簿证券融资交易的计量方法，计量交易对手</w:t>
      </w:r>
      <w:r>
        <w:rPr>
          <w:rFonts w:hint="eastAsia"/>
          <w:szCs w:val="21"/>
          <w:highlight w:val="none"/>
        </w:rPr>
        <w:t>的</w:t>
      </w:r>
      <w:r>
        <w:rPr>
          <w:rFonts w:hint="eastAsia"/>
          <w:szCs w:val="21"/>
        </w:rPr>
        <w:t>信用风险</w:t>
      </w:r>
      <w:r>
        <w:rPr>
          <w:szCs w:val="21"/>
        </w:rPr>
        <w:t>RWA</w:t>
      </w:r>
      <w:r>
        <w:rPr>
          <w:rFonts w:hint="eastAsia"/>
          <w:szCs w:val="21"/>
        </w:rPr>
        <w:t>，并填入交易对手信用风险模块相关报表。</w:t>
      </w:r>
      <w:bookmarkEnd w:id="5"/>
      <w:r>
        <w:rPr>
          <w:rFonts w:ascii="宋体" w:hAnsi="宋体"/>
          <w:szCs w:val="21"/>
        </w:rPr>
        <w:t>[</w:t>
      </w:r>
      <w:r>
        <w:rPr>
          <w:rFonts w:hint="eastAsia" w:ascii="宋体" w:hAnsi="宋体"/>
          <w:szCs w:val="21"/>
        </w:rPr>
        <w:t>1</w:t>
      </w:r>
      <w:r>
        <w:rPr>
          <w:rFonts w:hint="eastAsia"/>
        </w:rPr>
        <w:t xml:space="preserve"> </w:t>
      </w:r>
      <w:r>
        <w:rPr>
          <w:rFonts w:hint="eastAsia" w:ascii="宋体" w:hAnsi="宋体"/>
          <w:szCs w:val="21"/>
        </w:rPr>
        <w:t>.基于敏感度法的资本要求</w:t>
      </w:r>
      <w:r>
        <w:rPr>
          <w:rFonts w:ascii="宋体" w:hAnsi="宋体"/>
          <w:szCs w:val="21"/>
        </w:rPr>
        <w:t>]</w:t>
      </w:r>
      <w:r>
        <w:rPr>
          <w:rFonts w:hint="eastAsia" w:ascii="宋体" w:hAnsi="宋体"/>
          <w:szCs w:val="21"/>
        </w:rPr>
        <w:t>：指填报机构采用基于敏感度方法计量的资本要求。基于敏感度方法的资本要求由三部分加总：得尔塔资本要求、维伽资本要求及曲度资本要求。在加总资本要求时应考虑风险因子间与风险组间的相关性，以反映分散化效应。在金融压力时期相关性会上升或下降，商业银行应分别计算高、中、低三种相关性情形下的资本要求，并取资本加总口径的最大值作为基于敏感度方法下的风险资本要求。</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1.1一般利率风险</w:t>
      </w:r>
      <w:r>
        <w:rPr>
          <w:rFonts w:ascii="宋体" w:hAnsi="宋体"/>
          <w:szCs w:val="21"/>
        </w:rPr>
        <w:t>]</w:t>
      </w:r>
      <w:r>
        <w:rPr>
          <w:rFonts w:hint="eastAsia" w:ascii="宋体" w:hAnsi="宋体"/>
          <w:szCs w:val="21"/>
        </w:rPr>
        <w:t>：指填报机构一般利率风险资本要求金额。一般利率市场风险是指交易账簿中的工具因一般利率的风险因子不利变动而使商业银行表内和表外业务发生损失的风险。</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1.2股票风险</w:t>
      </w:r>
      <w:r>
        <w:rPr>
          <w:rFonts w:ascii="宋体" w:hAnsi="宋体"/>
          <w:szCs w:val="21"/>
        </w:rPr>
        <w:t>]</w:t>
      </w:r>
      <w:r>
        <w:rPr>
          <w:rFonts w:hint="eastAsia" w:ascii="宋体" w:hAnsi="宋体"/>
          <w:szCs w:val="21"/>
        </w:rPr>
        <w:t>：指填报机构股票风险资本要求金额。股票风险是指交易账簿中的工具因股票的风险因子出现的不利波动带来的表内外业务发生损失的风险。</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1.3商品风险</w:t>
      </w:r>
      <w:r>
        <w:rPr>
          <w:rFonts w:ascii="宋体" w:hAnsi="宋体"/>
          <w:szCs w:val="21"/>
        </w:rPr>
        <w:t>]</w:t>
      </w:r>
      <w:r>
        <w:rPr>
          <w:rFonts w:hint="eastAsia" w:ascii="宋体" w:hAnsi="宋体"/>
          <w:szCs w:val="21"/>
        </w:rPr>
        <w:t>：指填报机构商品风险资本要求金额。商品风险是指交易账簿及银行账簿中的工具因商品的风险因子出现的不利波动带来的表内外业务发生损失的风险。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1.4汇率风险</w:t>
      </w:r>
      <w:r>
        <w:rPr>
          <w:rFonts w:ascii="宋体" w:hAnsi="宋体"/>
          <w:szCs w:val="21"/>
        </w:rPr>
        <w:t>]</w:t>
      </w:r>
      <w:r>
        <w:rPr>
          <w:rFonts w:hint="eastAsia" w:ascii="宋体" w:hAnsi="宋体"/>
          <w:szCs w:val="21"/>
        </w:rPr>
        <w:t>：指填报机构汇率风险资本要求金额。汇率风险是指交易账簿及银行账簿中的工具因汇率的风险因子出现的不利波动带来的表内外业务发生损失的风险。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1.5信用利差风险-非证券化工具</w:t>
      </w:r>
      <w:r>
        <w:rPr>
          <w:rFonts w:ascii="宋体" w:hAnsi="宋体"/>
          <w:szCs w:val="21"/>
        </w:rPr>
        <w:t>]</w:t>
      </w:r>
      <w:r>
        <w:rPr>
          <w:rFonts w:hint="eastAsia" w:ascii="宋体" w:hAnsi="宋体"/>
          <w:szCs w:val="21"/>
        </w:rPr>
        <w:t>：指填报机构非证券化工具的信用利差风险资本要求金额。非证券化工具的信用利差风险是指交易账簿中的非证券化工具的发行主体或参考信用实体的信用利差风险因子出现不利波动带来的表内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1.6信用利差风险-证券化工具（非相关性交易组合）</w:t>
      </w:r>
      <w:r>
        <w:rPr>
          <w:rFonts w:ascii="宋体" w:hAnsi="宋体"/>
          <w:szCs w:val="21"/>
        </w:rPr>
        <w:t>]</w:t>
      </w:r>
      <w:r>
        <w:rPr>
          <w:rFonts w:hint="eastAsia" w:ascii="宋体" w:hAnsi="宋体"/>
          <w:szCs w:val="21"/>
        </w:rPr>
        <w:t>：指填报机构非相关性交易组合证券化工具的信用利差风险资本要求金额。非相关性交易组合证券化工具的信用利差风险是指交易账簿中的非相关性交易组合证券化工具各层级的信用利差风险因子出现不利波动带来的表内外业务发生损失的风险。非相关性交易组合证券化工具是指不满足</w:t>
      </w:r>
      <w:r>
        <w:rPr>
          <w:rFonts w:hint="eastAsia"/>
          <w:szCs w:val="21"/>
        </w:rPr>
        <w:t>《办法》</w:t>
      </w:r>
      <w:r>
        <w:rPr>
          <w:rFonts w:hint="eastAsia" w:ascii="宋体" w:hAnsi="宋体"/>
          <w:szCs w:val="21"/>
        </w:rPr>
        <w:t>附件13</w:t>
      </w:r>
      <w:r>
        <w:rPr>
          <w:rFonts w:ascii="宋体" w:hAnsi="宋体"/>
          <w:szCs w:val="21"/>
        </w:rPr>
        <w:t xml:space="preserve"> </w:t>
      </w:r>
      <w:r>
        <w:rPr>
          <w:rFonts w:hint="eastAsia" w:ascii="宋体" w:hAnsi="宋体"/>
          <w:szCs w:val="21"/>
        </w:rPr>
        <w:t>中相关性交易组合定义的证券化工具。</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1.7信用利差风险-证券化工具（相关性交易组合）</w:t>
      </w:r>
      <w:r>
        <w:rPr>
          <w:rFonts w:ascii="宋体" w:hAnsi="宋体"/>
          <w:szCs w:val="21"/>
        </w:rPr>
        <w:t>]</w:t>
      </w:r>
      <w:r>
        <w:rPr>
          <w:rFonts w:hint="eastAsia" w:ascii="宋体" w:hAnsi="宋体"/>
          <w:szCs w:val="21"/>
        </w:rPr>
        <w:t>：指填报机构相关性交易组合证券化工具的信用利差风险资本要求金额。相关性交易组合证券化工具的信用利差风险是指交易账簿中的相关性交易组合证券化工具各层级的信用利差风险因子出现不利波动带来的表内外业务发生损失的风险。相关性交易组合证券化工具应满足</w:t>
      </w:r>
      <w:r>
        <w:rPr>
          <w:rFonts w:hint="eastAsia"/>
          <w:szCs w:val="21"/>
        </w:rPr>
        <w:t>《办法》</w:t>
      </w:r>
      <w:r>
        <w:rPr>
          <w:rFonts w:hint="eastAsia" w:ascii="宋体" w:hAnsi="宋体"/>
          <w:szCs w:val="21"/>
        </w:rPr>
        <w:t>附件13中关于相关性交易组合的定义。</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2.违约风险资本要求</w:t>
      </w:r>
      <w:r>
        <w:rPr>
          <w:rFonts w:ascii="宋体" w:hAnsi="宋体"/>
          <w:szCs w:val="21"/>
        </w:rPr>
        <w:t>]</w:t>
      </w:r>
      <w:r>
        <w:rPr>
          <w:rFonts w:hint="eastAsia" w:ascii="宋体" w:hAnsi="宋体"/>
          <w:szCs w:val="21"/>
        </w:rPr>
        <w:t>：指</w:t>
      </w:r>
      <w:r>
        <w:rPr>
          <w:rFonts w:ascii="宋体" w:hAnsi="宋体"/>
          <w:szCs w:val="21"/>
        </w:rPr>
        <w:t>填报机构</w:t>
      </w:r>
      <w:r>
        <w:rPr>
          <w:rFonts w:hint="eastAsia" w:ascii="宋体" w:hAnsi="宋体"/>
          <w:szCs w:val="21"/>
        </w:rPr>
        <w:t>的违约风险资本要求金额。违约风险资本用于抵御基于敏感度方法的信用利差没有捕捉到的违约风险。</w:t>
      </w:r>
    </w:p>
    <w:p>
      <w:pPr>
        <w:tabs>
          <w:tab w:val="left" w:pos="720"/>
        </w:tabs>
        <w:spacing w:line="440" w:lineRule="exact"/>
        <w:ind w:firstLine="472" w:firstLineChars="225"/>
        <w:rPr>
          <w:rFonts w:ascii="宋体" w:hAnsi="宋体"/>
          <w:szCs w:val="21"/>
        </w:rPr>
      </w:pPr>
      <w:r>
        <w:rPr>
          <w:rFonts w:hint="eastAsia" w:ascii="宋体" w:hAnsi="宋体"/>
          <w:szCs w:val="21"/>
        </w:rPr>
        <w:t>存在违约风险的以下工具应计算违约风险资本要求：</w:t>
      </w:r>
    </w:p>
    <w:p>
      <w:pPr>
        <w:tabs>
          <w:tab w:val="left" w:pos="720"/>
        </w:tabs>
        <w:spacing w:line="440" w:lineRule="exact"/>
        <w:ind w:firstLine="472" w:firstLineChars="225"/>
        <w:rPr>
          <w:rFonts w:ascii="宋体" w:hAnsi="宋体"/>
          <w:szCs w:val="21"/>
        </w:rPr>
      </w:pPr>
      <w:r>
        <w:rPr>
          <w:rFonts w:hint="eastAsia"/>
          <w:szCs w:val="21"/>
        </w:rPr>
        <w:t>1．</w:t>
      </w:r>
      <w:r>
        <w:rPr>
          <w:rFonts w:hint="eastAsia" w:ascii="宋体" w:hAnsi="宋体"/>
          <w:szCs w:val="21"/>
        </w:rPr>
        <w:t>非证券化的资产组合；</w:t>
      </w:r>
    </w:p>
    <w:p>
      <w:pPr>
        <w:tabs>
          <w:tab w:val="left" w:pos="720"/>
        </w:tabs>
        <w:spacing w:line="440" w:lineRule="exact"/>
        <w:ind w:firstLine="472" w:firstLineChars="225"/>
        <w:rPr>
          <w:rFonts w:ascii="宋体" w:hAnsi="宋体"/>
          <w:szCs w:val="21"/>
        </w:rPr>
      </w:pPr>
      <w:r>
        <w:rPr>
          <w:szCs w:val="21"/>
        </w:rPr>
        <w:t>2</w:t>
      </w:r>
      <w:r>
        <w:rPr>
          <w:rFonts w:hint="eastAsia"/>
          <w:szCs w:val="21"/>
        </w:rPr>
        <w:t>．</w:t>
      </w:r>
      <w:r>
        <w:rPr>
          <w:rFonts w:hint="eastAsia" w:ascii="宋体" w:hAnsi="宋体"/>
          <w:szCs w:val="21"/>
        </w:rPr>
        <w:t>证券化资产组合（非相关性交易组合，non-CTP）；</w:t>
      </w:r>
    </w:p>
    <w:p>
      <w:pPr>
        <w:tabs>
          <w:tab w:val="left" w:pos="720"/>
        </w:tabs>
        <w:spacing w:line="440" w:lineRule="exact"/>
        <w:ind w:firstLine="472" w:firstLineChars="225"/>
        <w:rPr>
          <w:rFonts w:ascii="宋体" w:hAnsi="宋体"/>
          <w:szCs w:val="21"/>
        </w:rPr>
      </w:pPr>
      <w:r>
        <w:rPr>
          <w:szCs w:val="21"/>
        </w:rPr>
        <w:t>3</w:t>
      </w:r>
      <w:r>
        <w:rPr>
          <w:rFonts w:hint="eastAsia"/>
          <w:szCs w:val="21"/>
        </w:rPr>
        <w:t>．</w:t>
      </w:r>
      <w:r>
        <w:rPr>
          <w:rFonts w:hint="eastAsia" w:ascii="宋体" w:hAnsi="宋体"/>
          <w:szCs w:val="21"/>
        </w:rPr>
        <w:t>证券化资产组合（相关性交易组合，CTP）。</w:t>
      </w:r>
    </w:p>
    <w:p>
      <w:pPr>
        <w:tabs>
          <w:tab w:val="left" w:pos="720"/>
        </w:tabs>
        <w:spacing w:line="440" w:lineRule="exact"/>
        <w:ind w:firstLine="472" w:firstLineChars="225"/>
        <w:rPr>
          <w:szCs w:val="21"/>
        </w:rPr>
      </w:pPr>
      <w:r>
        <w:rPr>
          <w:rFonts w:hint="eastAsia"/>
          <w:szCs w:val="21"/>
        </w:rPr>
        <w:t>违约风险资本要求的计算步骤如下：</w:t>
      </w:r>
    </w:p>
    <w:p>
      <w:pPr>
        <w:tabs>
          <w:tab w:val="left" w:pos="720"/>
        </w:tabs>
        <w:spacing w:line="440" w:lineRule="exact"/>
        <w:ind w:firstLine="472" w:firstLineChars="225"/>
        <w:rPr>
          <w:szCs w:val="21"/>
        </w:rPr>
      </w:pPr>
      <w:r>
        <w:rPr>
          <w:rFonts w:hint="eastAsia"/>
          <w:szCs w:val="21"/>
        </w:rPr>
        <w:t>1．计算每个风险暴露的违约风险头寸。</w:t>
      </w:r>
    </w:p>
    <w:p>
      <w:pPr>
        <w:tabs>
          <w:tab w:val="left" w:pos="720"/>
        </w:tabs>
        <w:spacing w:line="440" w:lineRule="exact"/>
        <w:ind w:firstLine="472" w:firstLineChars="225"/>
        <w:rPr>
          <w:szCs w:val="21"/>
        </w:rPr>
      </w:pPr>
      <w:r>
        <w:rPr>
          <w:szCs w:val="21"/>
        </w:rPr>
        <w:t>2</w:t>
      </w:r>
      <w:r>
        <w:rPr>
          <w:rFonts w:hint="eastAsia"/>
          <w:szCs w:val="21"/>
        </w:rPr>
        <w:t>．对于同一债务人，空头和多头的违约风险头寸在符合条件的情况下抵消，得出净多头风险头寸和净空头风险头寸。</w:t>
      </w:r>
    </w:p>
    <w:p>
      <w:pPr>
        <w:tabs>
          <w:tab w:val="left" w:pos="720"/>
        </w:tabs>
        <w:spacing w:line="440" w:lineRule="exact"/>
        <w:ind w:firstLine="472" w:firstLineChars="225"/>
        <w:rPr>
          <w:szCs w:val="21"/>
        </w:rPr>
      </w:pPr>
      <w:r>
        <w:rPr>
          <w:szCs w:val="21"/>
        </w:rPr>
        <w:t>3</w:t>
      </w:r>
      <w:r>
        <w:rPr>
          <w:rFonts w:hint="eastAsia"/>
          <w:szCs w:val="21"/>
        </w:rPr>
        <w:t>．将净风险头寸分配到不同的风险组中。</w:t>
      </w:r>
    </w:p>
    <w:p>
      <w:pPr>
        <w:tabs>
          <w:tab w:val="left" w:pos="720"/>
        </w:tabs>
        <w:spacing w:line="440" w:lineRule="exact"/>
        <w:ind w:firstLine="472" w:firstLineChars="225"/>
        <w:rPr>
          <w:szCs w:val="21"/>
        </w:rPr>
      </w:pPr>
      <w:r>
        <w:rPr>
          <w:szCs w:val="21"/>
        </w:rPr>
        <w:t>4</w:t>
      </w:r>
      <w:r>
        <w:rPr>
          <w:rFonts w:hint="eastAsia"/>
          <w:szCs w:val="21"/>
        </w:rPr>
        <w:t>．同一个风险组中，将净风险头寸乘以风险权重，通过对冲效益比例进行对冲处理，得出各风险组违约风险资本要求。</w:t>
      </w:r>
    </w:p>
    <w:p>
      <w:pPr>
        <w:tabs>
          <w:tab w:val="left" w:pos="720"/>
        </w:tabs>
        <w:spacing w:line="440" w:lineRule="exact"/>
        <w:ind w:firstLine="472" w:firstLineChars="225"/>
        <w:rPr>
          <w:szCs w:val="21"/>
        </w:rPr>
      </w:pPr>
      <w:r>
        <w:rPr>
          <w:szCs w:val="21"/>
        </w:rPr>
        <w:t>5</w:t>
      </w:r>
      <w:r>
        <w:rPr>
          <w:rFonts w:hint="eastAsia"/>
          <w:szCs w:val="21"/>
        </w:rPr>
        <w:t>．各风险组的违约风险资本要求汇总得到整体违约风险资本要求。</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2.1违约风险-非证券化工具</w:t>
      </w:r>
      <w:r>
        <w:rPr>
          <w:rFonts w:ascii="宋体" w:hAnsi="宋体"/>
          <w:szCs w:val="21"/>
        </w:rPr>
        <w:t>]</w:t>
      </w:r>
      <w:r>
        <w:rPr>
          <w:rFonts w:hint="eastAsia" w:ascii="宋体" w:hAnsi="宋体"/>
          <w:szCs w:val="21"/>
        </w:rPr>
        <w:t>：指</w:t>
      </w:r>
      <w:r>
        <w:rPr>
          <w:rFonts w:ascii="宋体" w:hAnsi="宋体"/>
          <w:szCs w:val="21"/>
        </w:rPr>
        <w:t>填报机构</w:t>
      </w:r>
      <w:r>
        <w:rPr>
          <w:rFonts w:hint="eastAsia" w:ascii="宋体" w:hAnsi="宋体"/>
          <w:szCs w:val="21"/>
        </w:rPr>
        <w:t>交易账簿中的非证券化工具的违约风险资本要求金额。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2.2违约风险-证券化工具（非相关性交易组合）</w:t>
      </w:r>
      <w:r>
        <w:rPr>
          <w:rFonts w:ascii="宋体" w:hAnsi="宋体"/>
          <w:szCs w:val="21"/>
        </w:rPr>
        <w:t>]</w:t>
      </w:r>
      <w:r>
        <w:rPr>
          <w:rFonts w:hint="eastAsia" w:ascii="宋体" w:hAnsi="宋体"/>
          <w:szCs w:val="21"/>
        </w:rPr>
        <w:t>：指填报机构交易账簿中的非相关性交易组合证券化工具的违约风险资本要求金额。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2.3违约风险-证券化工具（相关性交易组合）</w:t>
      </w:r>
      <w:r>
        <w:rPr>
          <w:rFonts w:ascii="宋体" w:hAnsi="宋体"/>
          <w:szCs w:val="21"/>
        </w:rPr>
        <w:t>]</w:t>
      </w:r>
      <w:r>
        <w:rPr>
          <w:rFonts w:hint="eastAsia" w:ascii="宋体" w:hAnsi="宋体"/>
          <w:szCs w:val="21"/>
        </w:rPr>
        <w:t>：指填报机构交易账簿中的相关性交易组合证券化工具的违约风险资本要求金额。</w:t>
      </w:r>
    </w:p>
    <w:p>
      <w:pPr>
        <w:spacing w:line="440" w:lineRule="exact"/>
        <w:ind w:firstLine="472" w:firstLineChars="225"/>
        <w:rPr>
          <w:szCs w:val="21"/>
        </w:rPr>
      </w:pPr>
      <w:r>
        <w:rPr>
          <w:rFonts w:ascii="宋体" w:hAnsi="宋体"/>
          <w:szCs w:val="21"/>
        </w:rPr>
        <w:t>[</w:t>
      </w:r>
      <w:r>
        <w:rPr>
          <w:rFonts w:hint="eastAsia" w:ascii="宋体" w:hAnsi="宋体"/>
          <w:szCs w:val="21"/>
        </w:rPr>
        <w:t>3.剩余风险附加资本要求</w:t>
      </w:r>
      <w:r>
        <w:rPr>
          <w:rFonts w:ascii="宋体" w:hAnsi="宋体"/>
          <w:szCs w:val="21"/>
        </w:rPr>
        <w:t>]</w:t>
      </w:r>
      <w:r>
        <w:rPr>
          <w:rFonts w:hint="eastAsia" w:ascii="宋体" w:hAnsi="宋体"/>
          <w:szCs w:val="21"/>
        </w:rPr>
        <w:t>：指</w:t>
      </w:r>
      <w:r>
        <w:rPr>
          <w:rFonts w:ascii="宋体" w:hAnsi="宋体"/>
          <w:szCs w:val="21"/>
        </w:rPr>
        <w:t>填报机构</w:t>
      </w:r>
      <w:r>
        <w:rPr>
          <w:rFonts w:hint="eastAsia" w:ascii="宋体" w:hAnsi="宋体"/>
          <w:szCs w:val="21"/>
        </w:rPr>
        <w:t>的剩余风险附加资本要求金额。具有剩余风险的工具包括标的为奇异性资产的工具和承担其他剩余风险的工具。对于填报机构发行的含权资本工具以及交易账簿下投资的含权工具，若填报机构</w:t>
      </w:r>
      <w:r>
        <w:rPr>
          <w:rFonts w:hint="eastAsia" w:ascii="宋体" w:hAnsi="宋体"/>
          <w:color w:val="0D0D0D" w:themeColor="text1" w:themeTint="F2"/>
          <w:szCs w:val="21"/>
          <w:lang w:bidi="ar"/>
          <w14:textFill>
            <w14:solidFill>
              <w14:schemeClr w14:val="tx1">
                <w14:lumMod w14:val="95000"/>
                <w14:lumOff w14:val="5000"/>
              </w14:schemeClr>
            </w14:solidFill>
          </w14:textFill>
        </w:rPr>
        <w:t>无法计量其嵌入期权的敏感度资本要求</w:t>
      </w:r>
      <w:r>
        <w:rPr>
          <w:rFonts w:hint="eastAsia" w:ascii="宋体" w:hAnsi="宋体"/>
          <w:szCs w:val="21"/>
        </w:rPr>
        <w:t>，可用剩余风险附加资本要求进行替代。如该类工具承担其他剩余风险，还需同时计量剩余风险附加资本要求。</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4.采用简化标准法计量的附属机构资本要求总额（集团口径）</w:t>
      </w:r>
      <w:r>
        <w:rPr>
          <w:rFonts w:ascii="宋体" w:hAnsi="宋体"/>
          <w:szCs w:val="21"/>
        </w:rPr>
        <w:t>]</w:t>
      </w:r>
      <w:r>
        <w:rPr>
          <w:rFonts w:hint="eastAsia" w:ascii="宋体" w:hAnsi="宋体"/>
          <w:szCs w:val="21"/>
        </w:rPr>
        <w:t>：指在集团口径下，</w:t>
      </w:r>
      <w:r>
        <w:rPr>
          <w:rFonts w:ascii="宋体" w:hAnsi="宋体"/>
          <w:szCs w:val="21"/>
        </w:rPr>
        <w:t>填报机构</w:t>
      </w:r>
      <w:r>
        <w:rPr>
          <w:rFonts w:hint="eastAsia" w:ascii="宋体" w:hAnsi="宋体"/>
          <w:szCs w:val="21"/>
        </w:rPr>
        <w:t>的附属机构采用简化标准法计量的市场风险资本要求总额。附属机构采用简化标准法计量市场风险资本要求并直接并表的，应满足</w:t>
      </w:r>
      <w:r>
        <w:rPr>
          <w:rFonts w:hint="eastAsia"/>
          <w:szCs w:val="21"/>
        </w:rPr>
        <w:t>《办法》正文的相关要求。对于统一采用标准法计量集团口径市场风险资本要求的填报机构，无需填报该项目。</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5.市场风险资本要求总额</w:t>
      </w:r>
      <w:r>
        <w:rPr>
          <w:rFonts w:ascii="宋体" w:hAnsi="宋体"/>
          <w:szCs w:val="21"/>
        </w:rPr>
        <w:t>]</w:t>
      </w:r>
      <w:r>
        <w:rPr>
          <w:rFonts w:hint="eastAsia" w:ascii="宋体" w:hAnsi="宋体"/>
          <w:szCs w:val="21"/>
        </w:rPr>
        <w:t>：指填报机构全部市场风险资本要求金额。</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6.市场风险的风险加权资产总额</w:t>
      </w:r>
      <w:r>
        <w:rPr>
          <w:rFonts w:ascii="宋体" w:hAnsi="宋体"/>
          <w:szCs w:val="21"/>
        </w:rPr>
        <w:t>]</w:t>
      </w:r>
      <w:r>
        <w:rPr>
          <w:rFonts w:hint="eastAsia" w:ascii="宋体" w:hAnsi="宋体"/>
          <w:szCs w:val="21"/>
        </w:rPr>
        <w:t>：指填报机构市场风险资本要求对应的风险加权资产总额，等于市场风险资本要求总额乘以12.5。</w:t>
      </w:r>
    </w:p>
    <w:p>
      <w:pPr>
        <w:spacing w:line="440" w:lineRule="exact"/>
        <w:rPr>
          <w:b/>
          <w:szCs w:val="21"/>
        </w:rPr>
      </w:pPr>
      <w:bookmarkStart w:id="6" w:name="_Hlk150018491"/>
      <w:r>
        <w:rPr>
          <w:rFonts w:hint="eastAsia"/>
          <w:b/>
          <w:szCs w:val="21"/>
        </w:rPr>
        <w:t>第四部分：其他说明</w:t>
      </w:r>
    </w:p>
    <w:p>
      <w:pPr>
        <w:spacing w:line="44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除第二部分规定的折算汇率计算方法外，填报机构也可选取报告期末某一固定时点的市场实际交易价格作为折算汇率。</w:t>
      </w:r>
    </w:p>
    <w:p>
      <w:pPr>
        <w:spacing w:line="440" w:lineRule="exact"/>
        <w:ind w:firstLine="420" w:firstLineChars="200"/>
        <w:rPr>
          <w:b/>
          <w:szCs w:val="21"/>
        </w:rPr>
      </w:pPr>
      <w:r>
        <w:rPr>
          <w:rFonts w:hint="eastAsia" w:ascii="宋体" w:hAnsi="宋体"/>
          <w:color w:val="0D0D0D" w:themeColor="text1" w:themeTint="F2"/>
          <w:szCs w:val="21"/>
          <w14:textFill>
            <w14:solidFill>
              <w14:schemeClr w14:val="tx1">
                <w14:lumMod w14:val="95000"/>
                <w14:lumOff w14:val="5000"/>
              </w14:schemeClr>
            </w14:solidFill>
          </w14:textFill>
        </w:rPr>
        <w:t>对于G</w:t>
      </w:r>
      <w:r>
        <w:rPr>
          <w:rFonts w:ascii="宋体" w:hAnsi="宋体"/>
          <w:color w:val="0D0D0D" w:themeColor="text1" w:themeTint="F2"/>
          <w:szCs w:val="21"/>
          <w14:textFill>
            <w14:solidFill>
              <w14:schemeClr w14:val="tx1">
                <w14:lumMod w14:val="95000"/>
                <w14:lumOff w14:val="5000"/>
              </w14:schemeClr>
            </w14:solidFill>
          </w14:textFill>
        </w:rPr>
        <w:t>4C-2(</w:t>
      </w:r>
      <w:r>
        <w:rPr>
          <w:rFonts w:hint="eastAsia" w:ascii="宋体" w:hAnsi="宋体"/>
          <w:color w:val="0D0D0D" w:themeColor="text1" w:themeTint="F2"/>
          <w:szCs w:val="21"/>
          <w14:textFill>
            <w14:solidFill>
              <w14:schemeClr w14:val="tx1">
                <w14:lumMod w14:val="95000"/>
                <w14:lumOff w14:val="5000"/>
              </w14:schemeClr>
            </w14:solidFill>
          </w14:textFill>
        </w:rPr>
        <w:t>a</w:t>
      </w:r>
      <w:r>
        <w:rPr>
          <w:rFonts w:ascii="宋体" w:hAnsi="宋体"/>
          <w:color w:val="0D0D0D" w:themeColor="text1" w:themeTint="F2"/>
          <w:szCs w:val="21"/>
          <w14:textFill>
            <w14:solidFill>
              <w14:schemeClr w14:val="tx1">
                <w14:lumMod w14:val="95000"/>
                <w14:lumOff w14:val="5000"/>
              </w14:schemeClr>
            </w14:solidFill>
          </w14:textFill>
        </w:rPr>
        <w:t>)</w:t>
      </w:r>
      <w:r>
        <w:rPr>
          <w:rFonts w:hint="eastAsia" w:ascii="宋体" w:hAnsi="宋体"/>
          <w:color w:val="0D0D0D" w:themeColor="text1" w:themeTint="F2"/>
          <w:szCs w:val="21"/>
          <w14:textFill>
            <w14:solidFill>
              <w14:schemeClr w14:val="tx1">
                <w14:lumMod w14:val="95000"/>
                <w14:lumOff w14:val="5000"/>
              </w14:schemeClr>
            </w14:solidFill>
          </w14:textFill>
        </w:rPr>
        <w:t>中[11.内部风险转移交易台资本要求]和[12.非穿透法计量的资产管理产品资本要求]，均应单独计量风险资本，并根据底层资产的风险类别，分别填入对应的栏位。单独计量风险资本是指，不考虑与其他交易台之间的分散和抵消效应，以简单相加的方式汇总，高中低相关性情景的选取保持独立。[12.非穿透法计量的资产管理产品资本要求]对应附件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“第二部分（十一）2（2）a”计量的资本要求。</w:t>
      </w:r>
    </w:p>
    <w:bookmarkEnd w:id="6"/>
    <w:p>
      <w:pPr>
        <w:spacing w:line="440" w:lineRule="exact"/>
        <w:rPr>
          <w:rFonts w:ascii="宋体"/>
          <w:b/>
          <w:szCs w:val="21"/>
        </w:rPr>
      </w:pPr>
      <w:r>
        <w:rPr>
          <w:rFonts w:hint="eastAsia"/>
          <w:b/>
          <w:szCs w:val="21"/>
        </w:rPr>
        <w:t>第五部分：核对关系</w:t>
      </w:r>
    </w:p>
    <w:p>
      <w:pPr>
        <w:spacing w:line="440" w:lineRule="exact"/>
        <w:ind w:firstLine="541" w:firstLineChars="257"/>
        <w:rPr>
          <w:rFonts w:ascii="宋体"/>
          <w:b/>
          <w:bCs/>
          <w:szCs w:val="21"/>
        </w:rPr>
      </w:pPr>
      <w:r>
        <w:rPr>
          <w:rFonts w:hint="eastAsia" w:ascii="宋体"/>
          <w:b/>
          <w:bCs/>
          <w:szCs w:val="21"/>
        </w:rPr>
        <w:t>表内核对关系</w:t>
      </w:r>
    </w:p>
    <w:p>
      <w:pPr>
        <w:tabs>
          <w:tab w:val="left" w:pos="1260"/>
        </w:tabs>
        <w:spacing w:line="440" w:lineRule="exact"/>
        <w:ind w:left="540"/>
        <w:rPr>
          <w:rFonts w:ascii="宋体" w:hAnsi="Arial"/>
          <w:szCs w:val="21"/>
        </w:rPr>
      </w:pPr>
      <w:r>
        <w:rPr>
          <w:rFonts w:ascii="宋体" w:hAnsi="宋体"/>
          <w:szCs w:val="21"/>
        </w:rPr>
        <w:t>[</w:t>
      </w:r>
      <w:r>
        <w:rPr>
          <w:rFonts w:hint="eastAsia" w:ascii="宋体" w:hAnsi="宋体"/>
          <w:szCs w:val="21"/>
        </w:rPr>
        <w:t>1.A</w:t>
      </w:r>
      <w:r>
        <w:rPr>
          <w:rFonts w:ascii="宋体" w:hAnsi="宋体"/>
          <w:szCs w:val="21"/>
        </w:rPr>
        <w:t>]</w:t>
      </w:r>
      <w:r>
        <w:rPr>
          <w:rFonts w:hint="eastAsia" w:ascii="宋体" w:hAnsi="Arial"/>
          <w:szCs w:val="21"/>
        </w:rPr>
        <w:t>=</w:t>
      </w:r>
      <w:r>
        <w:rPr>
          <w:rFonts w:ascii="宋体" w:hAnsi="宋体"/>
          <w:szCs w:val="21"/>
        </w:rPr>
        <w:t>[</w:t>
      </w:r>
      <w:r>
        <w:rPr>
          <w:rFonts w:hint="eastAsia" w:ascii="宋体" w:hAnsi="宋体"/>
          <w:szCs w:val="21"/>
        </w:rPr>
        <w:t>1.1A</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1.2A</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1.3A]+</w:t>
      </w:r>
      <w:r>
        <w:rPr>
          <w:rFonts w:ascii="宋体" w:hAnsi="宋体"/>
          <w:szCs w:val="21"/>
        </w:rPr>
        <w:t>[</w:t>
      </w:r>
      <w:r>
        <w:rPr>
          <w:rFonts w:hint="eastAsia" w:ascii="宋体" w:hAnsi="宋体"/>
          <w:szCs w:val="21"/>
        </w:rPr>
        <w:t>1.4A]+</w:t>
      </w:r>
      <w:r>
        <w:rPr>
          <w:rFonts w:ascii="宋体" w:hAnsi="宋体"/>
          <w:szCs w:val="21"/>
        </w:rPr>
        <w:t>[</w:t>
      </w:r>
      <w:r>
        <w:rPr>
          <w:rFonts w:hint="eastAsia" w:ascii="宋体" w:hAnsi="宋体"/>
          <w:szCs w:val="21"/>
        </w:rPr>
        <w:t>1.</w:t>
      </w:r>
      <w:r>
        <w:rPr>
          <w:rFonts w:ascii="宋体" w:hAnsi="宋体"/>
          <w:szCs w:val="21"/>
        </w:rPr>
        <w:t>5</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6</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7</w:t>
      </w:r>
      <w:r>
        <w:rPr>
          <w:rFonts w:hint="eastAsia" w:ascii="宋体" w:hAnsi="宋体"/>
          <w:szCs w:val="21"/>
        </w:rPr>
        <w:t>A]</w:t>
      </w:r>
    </w:p>
    <w:p>
      <w:pPr>
        <w:tabs>
          <w:tab w:val="left" w:pos="1260"/>
        </w:tabs>
        <w:spacing w:line="440" w:lineRule="exact"/>
        <w:ind w:left="540"/>
        <w:rPr>
          <w:rFonts w:ascii="宋体" w:hAnsi="Arial"/>
          <w:szCs w:val="21"/>
        </w:rPr>
      </w:pPr>
      <w:r>
        <w:rPr>
          <w:rFonts w:ascii="宋体" w:hAnsi="宋体"/>
          <w:szCs w:val="21"/>
        </w:rPr>
        <w:t>[2</w:t>
      </w:r>
      <w:r>
        <w:rPr>
          <w:rFonts w:hint="eastAsia" w:ascii="宋体" w:hAnsi="宋体"/>
          <w:szCs w:val="21"/>
        </w:rPr>
        <w:t>.A</w:t>
      </w:r>
      <w:r>
        <w:rPr>
          <w:rFonts w:ascii="宋体" w:hAnsi="宋体"/>
          <w:szCs w:val="21"/>
        </w:rPr>
        <w:t>]</w:t>
      </w:r>
      <w:r>
        <w:rPr>
          <w:rFonts w:hint="eastAsia" w:ascii="宋体" w:hAnsi="宋体"/>
          <w:szCs w:val="21"/>
        </w:rPr>
        <w:t>=</w:t>
      </w:r>
      <w:r>
        <w:rPr>
          <w:rFonts w:ascii="宋体" w:hAnsi="宋体"/>
          <w:szCs w:val="21"/>
        </w:rPr>
        <w:t>[2</w:t>
      </w:r>
      <w:r>
        <w:rPr>
          <w:rFonts w:hint="eastAsia" w:ascii="宋体" w:hAnsi="宋体"/>
          <w:szCs w:val="21"/>
        </w:rPr>
        <w:t>.1A</w:t>
      </w:r>
      <w:r>
        <w:rPr>
          <w:rFonts w:ascii="宋体" w:hAnsi="宋体"/>
          <w:szCs w:val="21"/>
        </w:rPr>
        <w:t>]</w:t>
      </w:r>
      <w:r>
        <w:rPr>
          <w:rFonts w:hint="eastAsia" w:ascii="宋体" w:hAnsi="宋体"/>
          <w:szCs w:val="21"/>
        </w:rPr>
        <w:t>+</w:t>
      </w:r>
      <w:r>
        <w:rPr>
          <w:rFonts w:ascii="宋体" w:hAnsi="宋体"/>
          <w:szCs w:val="21"/>
        </w:rPr>
        <w:t>[2</w:t>
      </w:r>
      <w:r>
        <w:rPr>
          <w:rFonts w:hint="eastAsia" w:ascii="宋体" w:hAnsi="宋体"/>
          <w:szCs w:val="21"/>
        </w:rPr>
        <w:t>.2A</w:t>
      </w:r>
      <w:r>
        <w:rPr>
          <w:rFonts w:ascii="宋体" w:hAnsi="宋体"/>
          <w:szCs w:val="21"/>
        </w:rPr>
        <w:t>]</w:t>
      </w:r>
      <w:r>
        <w:rPr>
          <w:rFonts w:hint="eastAsia" w:ascii="宋体" w:hAnsi="宋体"/>
          <w:szCs w:val="21"/>
        </w:rPr>
        <w:t>+</w:t>
      </w:r>
      <w:r>
        <w:rPr>
          <w:rFonts w:ascii="宋体" w:hAnsi="宋体"/>
          <w:szCs w:val="21"/>
        </w:rPr>
        <w:t>[2</w:t>
      </w:r>
      <w:r>
        <w:rPr>
          <w:rFonts w:hint="eastAsia" w:ascii="宋体" w:hAnsi="宋体"/>
          <w:szCs w:val="21"/>
        </w:rPr>
        <w:t>.3A]</w:t>
      </w:r>
    </w:p>
    <w:p>
      <w:pPr>
        <w:tabs>
          <w:tab w:val="left" w:pos="1260"/>
        </w:tabs>
        <w:spacing w:line="440" w:lineRule="exact"/>
        <w:ind w:left="540"/>
        <w:rPr>
          <w:rFonts w:ascii="宋体" w:hAnsi="Arial"/>
          <w:szCs w:val="21"/>
        </w:rPr>
      </w:pPr>
      <w:r>
        <w:rPr>
          <w:rFonts w:ascii="宋体" w:hAnsi="宋体"/>
          <w:szCs w:val="21"/>
        </w:rPr>
        <w:t>[5</w:t>
      </w:r>
      <w:r>
        <w:rPr>
          <w:rFonts w:hint="eastAsia" w:ascii="宋体" w:hAnsi="宋体"/>
          <w:szCs w:val="21"/>
        </w:rPr>
        <w:t>.</w:t>
      </w:r>
      <w:r>
        <w:rPr>
          <w:rFonts w:ascii="宋体" w:hAnsi="宋体"/>
          <w:szCs w:val="21"/>
        </w:rPr>
        <w:t>A]</w:t>
      </w:r>
      <w:r>
        <w:rPr>
          <w:rFonts w:hint="eastAsia" w:ascii="宋体" w:hAnsi="宋体"/>
          <w:szCs w:val="21"/>
        </w:rPr>
        <w:t>=</w:t>
      </w:r>
      <w:r>
        <w:rPr>
          <w:rFonts w:ascii="宋体" w:hAnsi="宋体"/>
          <w:szCs w:val="21"/>
        </w:rPr>
        <w:t>[</w:t>
      </w:r>
      <w:r>
        <w:rPr>
          <w:rFonts w:hint="eastAsia" w:ascii="宋体" w:hAnsi="宋体"/>
          <w:szCs w:val="21"/>
        </w:rPr>
        <w:t>1.A</w:t>
      </w:r>
      <w:r>
        <w:rPr>
          <w:rFonts w:ascii="宋体" w:hAnsi="宋体"/>
          <w:szCs w:val="21"/>
        </w:rPr>
        <w:t>]+[2</w:t>
      </w:r>
      <w:r>
        <w:rPr>
          <w:rFonts w:hint="eastAsia" w:ascii="宋体" w:hAnsi="宋体"/>
          <w:szCs w:val="21"/>
        </w:rPr>
        <w:t>.A</w:t>
      </w:r>
      <w:r>
        <w:rPr>
          <w:rFonts w:ascii="宋体" w:hAnsi="宋体"/>
          <w:szCs w:val="21"/>
        </w:rPr>
        <w:t>]+[3</w:t>
      </w:r>
      <w:r>
        <w:rPr>
          <w:rFonts w:hint="eastAsia" w:ascii="宋体" w:hAnsi="宋体"/>
          <w:szCs w:val="21"/>
        </w:rPr>
        <w:t>.A</w:t>
      </w:r>
      <w:r>
        <w:rPr>
          <w:rFonts w:ascii="宋体" w:hAnsi="宋体"/>
          <w:szCs w:val="21"/>
        </w:rPr>
        <w:t>]+[4</w:t>
      </w:r>
      <w:r>
        <w:rPr>
          <w:rFonts w:hint="eastAsia" w:ascii="宋体" w:hAnsi="宋体"/>
          <w:szCs w:val="21"/>
        </w:rPr>
        <w:t>.A</w:t>
      </w:r>
      <w:r>
        <w:rPr>
          <w:rFonts w:ascii="宋体" w:hAnsi="宋体"/>
          <w:szCs w:val="21"/>
        </w:rPr>
        <w:t>]</w:t>
      </w:r>
    </w:p>
    <w:p>
      <w:pPr>
        <w:tabs>
          <w:tab w:val="left" w:pos="1260"/>
        </w:tabs>
        <w:spacing w:line="440" w:lineRule="exact"/>
        <w:ind w:left="540"/>
        <w:rPr>
          <w:rFonts w:ascii="宋体" w:hAnsi="Arial"/>
          <w:szCs w:val="21"/>
        </w:rPr>
      </w:pPr>
      <w:r>
        <w:rPr>
          <w:rFonts w:ascii="宋体" w:hAnsi="宋体"/>
          <w:szCs w:val="21"/>
        </w:rPr>
        <w:t>[6</w:t>
      </w:r>
      <w:r>
        <w:rPr>
          <w:rFonts w:hint="eastAsia" w:ascii="宋体" w:hAnsi="宋体"/>
          <w:szCs w:val="21"/>
        </w:rPr>
        <w:t>.</w:t>
      </w:r>
      <w:r>
        <w:rPr>
          <w:rFonts w:ascii="宋体" w:hAnsi="宋体"/>
          <w:szCs w:val="21"/>
        </w:rPr>
        <w:t>A]</w:t>
      </w:r>
      <w:r>
        <w:rPr>
          <w:rFonts w:hint="eastAsia" w:ascii="宋体" w:hAnsi="宋体"/>
          <w:szCs w:val="21"/>
        </w:rPr>
        <w:t>=</w:t>
      </w:r>
      <w:r>
        <w:rPr>
          <w:rFonts w:ascii="宋体" w:hAnsi="宋体"/>
          <w:szCs w:val="21"/>
        </w:rPr>
        <w:t>[5.A]</w:t>
      </w:r>
      <w:r>
        <w:rPr>
          <w:rFonts w:hint="eastAsia" w:ascii="宋体" w:hAnsi="宋体"/>
          <w:szCs w:val="21"/>
        </w:rPr>
        <w:t>*12.5</w:t>
      </w:r>
    </w:p>
    <w:p>
      <w:pPr>
        <w:rPr>
          <w:szCs w:val="21"/>
        </w:rPr>
      </w:pPr>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仿宋_GB2312">
    <w:panose1 w:val="02010609030101010101"/>
    <w:charset w:val="86"/>
    <w:family w:val="modern"/>
    <w:pitch w:val="default"/>
    <w:sig w:usb0="00000001" w:usb1="080E0000" w:usb2="00000000" w:usb3="00000000" w:csb0="00040000" w:csb1="00000000"/>
  </w:font>
  <w:font w:name="Consolas">
    <w:altName w:val="Noto Sans Mono"/>
    <w:panose1 w:val="020B0609020204030204"/>
    <w:charset w:val="00"/>
    <w:family w:val="modern"/>
    <w:pitch w:val="default"/>
    <w:sig w:usb0="00000000" w:usb1="00000000" w:usb2="00000001" w:usb3="00000000" w:csb0="0000019F" w:csb1="00000000"/>
  </w:font>
  <w:font w:name="Noto Sans Mono">
    <w:panose1 w:val="020B0509040504020204"/>
    <w:charset w:val="00"/>
    <w:family w:val="auto"/>
    <w:pitch w:val="default"/>
    <w:sig w:usb0="E00002FF" w:usb1="4200FCFF" w:usb2="08000039" w:usb3="00100000" w:csb0="0000019F" w:csb1="DFD70000"/>
  </w:font>
  <w:font w:name="MS Mincho">
    <w:altName w:val="宋体"/>
    <w:panose1 w:val="02020609040205080304"/>
    <w:charset w:val="80"/>
    <w:family w:val="modern"/>
    <w:pitch w:val="default"/>
    <w:sig w:usb0="00000000" w:usb1="00000000" w:usb2="08000012" w:usb3="00000000" w:csb0="0002009F" w:csb1="00000000"/>
  </w:font>
  <w:font w:name="Tahoma">
    <w:altName w:val="DejaVu Sans"/>
    <w:panose1 w:val="020B0604030504040204"/>
    <w:charset w:val="00"/>
    <w:family w:val="swiss"/>
    <w:pitch w:val="default"/>
    <w:sig w:usb0="00000000" w:usb1="00000000" w:usb2="00000029" w:usb3="00000000" w:csb0="000101FF" w:csb1="00000000"/>
  </w:font>
  <w:font w:name="”“Times New Roman”“">
    <w:altName w:val="宋体"/>
    <w:panose1 w:val="00000000000000000000"/>
    <w:charset w:val="86"/>
    <w:family w:val="roman"/>
    <w:pitch w:val="default"/>
    <w:sig w:usb0="00000000" w:usb1="00000000" w:usb2="00000010" w:usb3="00000000" w:csb0="00040000" w:csb1="00000000"/>
  </w:font>
  <w:font w:name="华文中宋">
    <w:altName w:val="汉仪中宋简"/>
    <w:panose1 w:val="02010600040101010101"/>
    <w:charset w:val="86"/>
    <w:family w:val="auto"/>
    <w:pitch w:val="default"/>
    <w:sig w:usb0="00000000" w:usb1="00000000" w:usb2="00000010" w:usb3="00000000" w:csb0="0004009F" w:csb1="00000000"/>
  </w:font>
  <w:font w:name="汉仪中宋简">
    <w:panose1 w:val="02010600000101010101"/>
    <w:charset w:val="86"/>
    <w:family w:val="auto"/>
    <w:pitch w:val="default"/>
    <w:sig w:usb0="00000001" w:usb1="080E0800" w:usb2="00000002" w:usb3="00000000" w:csb0="00040000" w:csb1="00000000"/>
  </w:font>
  <w:font w:name="Arial Narrow">
    <w:altName w:val="DejaVu Sans"/>
    <w:panose1 w:val="020B0606020202030204"/>
    <w:charset w:val="00"/>
    <w:family w:val="swiss"/>
    <w:pitch w:val="default"/>
    <w:sig w:usb0="00000000" w:usb1="00000000" w:usb2="00000000" w:usb3="00000000" w:csb0="0000009F" w:csb1="00000000"/>
  </w:font>
  <w:font w:name="Verdana">
    <w:altName w:val="DejaVu Sans"/>
    <w:panose1 w:val="020B0604030504040204"/>
    <w:charset w:val="00"/>
    <w:family w:val="swiss"/>
    <w:pitch w:val="default"/>
    <w:sig w:usb0="00000000" w:usb1="00000000"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framePr w:wrap="around" w:vAnchor="text" w:hAnchor="margin" w:xAlign="center" w:y="1"/>
      <w:rPr>
        <w:rStyle w:val="34"/>
      </w:rPr>
    </w:pPr>
    <w:r>
      <w:fldChar w:fldCharType="begin"/>
    </w:r>
    <w:r>
      <w:rPr>
        <w:rStyle w:val="34"/>
      </w:rPr>
      <w:instrText xml:space="preserve">PAGE  </w:instrText>
    </w:r>
    <w:r>
      <w:fldChar w:fldCharType="separate"/>
    </w:r>
    <w:r>
      <w:rPr>
        <w:rStyle w:val="34"/>
      </w:rPr>
      <w:t>4</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framePr w:wrap="around" w:vAnchor="text" w:hAnchor="margin" w:xAlign="center" w:y="1"/>
      <w:rPr>
        <w:rStyle w:val="34"/>
      </w:rPr>
    </w:pPr>
    <w:r>
      <w:fldChar w:fldCharType="begin"/>
    </w:r>
    <w:r>
      <w:rPr>
        <w:rStyle w:val="34"/>
      </w:rPr>
      <w:instrText xml:space="preserve">PAGE  </w:instrText>
    </w:r>
    <w:r>
      <w:fldChar w:fldCharType="separate"/>
    </w:r>
    <w:r>
      <w:rPr>
        <w:rStyle w:val="34"/>
      </w:rPr>
      <w:t>1</w:t>
    </w:r>
    <w:r>
      <w:fldChar w:fldCharType="end"/>
    </w:r>
  </w:p>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93213E"/>
    <w:rsid w:val="000013BA"/>
    <w:rsid w:val="0000150C"/>
    <w:rsid w:val="000047B7"/>
    <w:rsid w:val="000047BD"/>
    <w:rsid w:val="000074A3"/>
    <w:rsid w:val="000142AB"/>
    <w:rsid w:val="00021026"/>
    <w:rsid w:val="000304A8"/>
    <w:rsid w:val="00036F63"/>
    <w:rsid w:val="00041A35"/>
    <w:rsid w:val="000460A1"/>
    <w:rsid w:val="000566C4"/>
    <w:rsid w:val="00057B9A"/>
    <w:rsid w:val="00060425"/>
    <w:rsid w:val="0006057B"/>
    <w:rsid w:val="00064262"/>
    <w:rsid w:val="000676D8"/>
    <w:rsid w:val="00080DD1"/>
    <w:rsid w:val="000825C2"/>
    <w:rsid w:val="000834D7"/>
    <w:rsid w:val="000855E9"/>
    <w:rsid w:val="00087405"/>
    <w:rsid w:val="00091983"/>
    <w:rsid w:val="00091BBF"/>
    <w:rsid w:val="000936E5"/>
    <w:rsid w:val="0009371A"/>
    <w:rsid w:val="00094610"/>
    <w:rsid w:val="000976AD"/>
    <w:rsid w:val="000A1F39"/>
    <w:rsid w:val="000A4C63"/>
    <w:rsid w:val="000A5381"/>
    <w:rsid w:val="000A561A"/>
    <w:rsid w:val="000B087A"/>
    <w:rsid w:val="000B0F97"/>
    <w:rsid w:val="000B1F46"/>
    <w:rsid w:val="000B4494"/>
    <w:rsid w:val="000B6B4A"/>
    <w:rsid w:val="000B7F74"/>
    <w:rsid w:val="000C0CF9"/>
    <w:rsid w:val="000C2C8B"/>
    <w:rsid w:val="000C335C"/>
    <w:rsid w:val="000C6378"/>
    <w:rsid w:val="000D58FD"/>
    <w:rsid w:val="000D7ED0"/>
    <w:rsid w:val="000E09A9"/>
    <w:rsid w:val="000E4373"/>
    <w:rsid w:val="000F134B"/>
    <w:rsid w:val="000F3879"/>
    <w:rsid w:val="000F4A4F"/>
    <w:rsid w:val="0010003D"/>
    <w:rsid w:val="001028C0"/>
    <w:rsid w:val="00102ABF"/>
    <w:rsid w:val="0010463B"/>
    <w:rsid w:val="00110965"/>
    <w:rsid w:val="00112E81"/>
    <w:rsid w:val="001215BF"/>
    <w:rsid w:val="00123B27"/>
    <w:rsid w:val="00133D2B"/>
    <w:rsid w:val="001341AC"/>
    <w:rsid w:val="00137038"/>
    <w:rsid w:val="001452CD"/>
    <w:rsid w:val="00146E8C"/>
    <w:rsid w:val="0015780A"/>
    <w:rsid w:val="00157B48"/>
    <w:rsid w:val="0016384B"/>
    <w:rsid w:val="00163F49"/>
    <w:rsid w:val="00170D56"/>
    <w:rsid w:val="00171022"/>
    <w:rsid w:val="00171357"/>
    <w:rsid w:val="00176DD2"/>
    <w:rsid w:val="0018100E"/>
    <w:rsid w:val="001844B5"/>
    <w:rsid w:val="00184535"/>
    <w:rsid w:val="00185D17"/>
    <w:rsid w:val="00191E78"/>
    <w:rsid w:val="001955DE"/>
    <w:rsid w:val="001A02ED"/>
    <w:rsid w:val="001A0365"/>
    <w:rsid w:val="001A176D"/>
    <w:rsid w:val="001A25C0"/>
    <w:rsid w:val="001A33E8"/>
    <w:rsid w:val="001B0C5E"/>
    <w:rsid w:val="001B16F7"/>
    <w:rsid w:val="001B17F6"/>
    <w:rsid w:val="001B2B33"/>
    <w:rsid w:val="001C3A13"/>
    <w:rsid w:val="001C5294"/>
    <w:rsid w:val="001C6876"/>
    <w:rsid w:val="001D1111"/>
    <w:rsid w:val="001D529B"/>
    <w:rsid w:val="001D57F0"/>
    <w:rsid w:val="001D5CAD"/>
    <w:rsid w:val="001E2899"/>
    <w:rsid w:val="001E3268"/>
    <w:rsid w:val="001E3607"/>
    <w:rsid w:val="001E3CE9"/>
    <w:rsid w:val="001E6056"/>
    <w:rsid w:val="001F326D"/>
    <w:rsid w:val="001F5FB5"/>
    <w:rsid w:val="00201433"/>
    <w:rsid w:val="0020476F"/>
    <w:rsid w:val="002105CE"/>
    <w:rsid w:val="00211C55"/>
    <w:rsid w:val="00215ECD"/>
    <w:rsid w:val="0022431D"/>
    <w:rsid w:val="00224906"/>
    <w:rsid w:val="00231F08"/>
    <w:rsid w:val="00234678"/>
    <w:rsid w:val="0025190E"/>
    <w:rsid w:val="00253B8F"/>
    <w:rsid w:val="00256C2F"/>
    <w:rsid w:val="00256EAE"/>
    <w:rsid w:val="00261415"/>
    <w:rsid w:val="00264E92"/>
    <w:rsid w:val="002666BA"/>
    <w:rsid w:val="00267CDC"/>
    <w:rsid w:val="00272EFD"/>
    <w:rsid w:val="00276AA7"/>
    <w:rsid w:val="0028537B"/>
    <w:rsid w:val="00285499"/>
    <w:rsid w:val="0029116D"/>
    <w:rsid w:val="00291171"/>
    <w:rsid w:val="00297556"/>
    <w:rsid w:val="00297CE0"/>
    <w:rsid w:val="002A3669"/>
    <w:rsid w:val="002A669E"/>
    <w:rsid w:val="002A6CFF"/>
    <w:rsid w:val="002B2B89"/>
    <w:rsid w:val="002B4D7D"/>
    <w:rsid w:val="002B51D7"/>
    <w:rsid w:val="002B57E0"/>
    <w:rsid w:val="002B6DD0"/>
    <w:rsid w:val="002B71D3"/>
    <w:rsid w:val="002B7D68"/>
    <w:rsid w:val="002C09B3"/>
    <w:rsid w:val="002C5CA2"/>
    <w:rsid w:val="002C6443"/>
    <w:rsid w:val="002C7F99"/>
    <w:rsid w:val="002C7FB1"/>
    <w:rsid w:val="002D200A"/>
    <w:rsid w:val="002D570F"/>
    <w:rsid w:val="002E066E"/>
    <w:rsid w:val="002E3B52"/>
    <w:rsid w:val="002E4925"/>
    <w:rsid w:val="002E54E9"/>
    <w:rsid w:val="002E6EA4"/>
    <w:rsid w:val="002F17F7"/>
    <w:rsid w:val="002F2FAE"/>
    <w:rsid w:val="002F5C51"/>
    <w:rsid w:val="00300DFF"/>
    <w:rsid w:val="003030A8"/>
    <w:rsid w:val="0030475B"/>
    <w:rsid w:val="00313544"/>
    <w:rsid w:val="00320D2C"/>
    <w:rsid w:val="003252D2"/>
    <w:rsid w:val="003266AB"/>
    <w:rsid w:val="00326E64"/>
    <w:rsid w:val="00327406"/>
    <w:rsid w:val="003277FE"/>
    <w:rsid w:val="00330027"/>
    <w:rsid w:val="0034051F"/>
    <w:rsid w:val="00341971"/>
    <w:rsid w:val="00343454"/>
    <w:rsid w:val="0034367A"/>
    <w:rsid w:val="003513D6"/>
    <w:rsid w:val="0035271E"/>
    <w:rsid w:val="0036213C"/>
    <w:rsid w:val="003635DB"/>
    <w:rsid w:val="00363E30"/>
    <w:rsid w:val="00364BF0"/>
    <w:rsid w:val="0036750B"/>
    <w:rsid w:val="00367704"/>
    <w:rsid w:val="00371B16"/>
    <w:rsid w:val="00377CD7"/>
    <w:rsid w:val="00380EF3"/>
    <w:rsid w:val="00382718"/>
    <w:rsid w:val="003836BC"/>
    <w:rsid w:val="003873B6"/>
    <w:rsid w:val="00390162"/>
    <w:rsid w:val="003935C5"/>
    <w:rsid w:val="0039542C"/>
    <w:rsid w:val="003964C5"/>
    <w:rsid w:val="003A0213"/>
    <w:rsid w:val="003A7D0F"/>
    <w:rsid w:val="003B0C76"/>
    <w:rsid w:val="003B16E1"/>
    <w:rsid w:val="003B20AA"/>
    <w:rsid w:val="003B2580"/>
    <w:rsid w:val="003B5F01"/>
    <w:rsid w:val="003C04DA"/>
    <w:rsid w:val="003C52B5"/>
    <w:rsid w:val="003C7B34"/>
    <w:rsid w:val="003D441D"/>
    <w:rsid w:val="003D6DEC"/>
    <w:rsid w:val="003E4440"/>
    <w:rsid w:val="003F17B8"/>
    <w:rsid w:val="003F2970"/>
    <w:rsid w:val="0040235E"/>
    <w:rsid w:val="00404DF0"/>
    <w:rsid w:val="0040664E"/>
    <w:rsid w:val="004117C2"/>
    <w:rsid w:val="00415CF4"/>
    <w:rsid w:val="00416241"/>
    <w:rsid w:val="00423067"/>
    <w:rsid w:val="00423FDF"/>
    <w:rsid w:val="00424BE7"/>
    <w:rsid w:val="00426BDD"/>
    <w:rsid w:val="00431176"/>
    <w:rsid w:val="00432369"/>
    <w:rsid w:val="00433C55"/>
    <w:rsid w:val="004426FF"/>
    <w:rsid w:val="00446306"/>
    <w:rsid w:val="00451F87"/>
    <w:rsid w:val="00453423"/>
    <w:rsid w:val="00454415"/>
    <w:rsid w:val="00455489"/>
    <w:rsid w:val="004622EF"/>
    <w:rsid w:val="00462DEF"/>
    <w:rsid w:val="004649AC"/>
    <w:rsid w:val="0046611C"/>
    <w:rsid w:val="00467472"/>
    <w:rsid w:val="00475BAD"/>
    <w:rsid w:val="00476304"/>
    <w:rsid w:val="00477971"/>
    <w:rsid w:val="00483A2D"/>
    <w:rsid w:val="0049324B"/>
    <w:rsid w:val="00497844"/>
    <w:rsid w:val="004A277A"/>
    <w:rsid w:val="004A2B39"/>
    <w:rsid w:val="004A5099"/>
    <w:rsid w:val="004A51EF"/>
    <w:rsid w:val="004A6427"/>
    <w:rsid w:val="004C07ED"/>
    <w:rsid w:val="004D2B87"/>
    <w:rsid w:val="004D3529"/>
    <w:rsid w:val="004E35E6"/>
    <w:rsid w:val="004E57F7"/>
    <w:rsid w:val="004F018C"/>
    <w:rsid w:val="004F12F0"/>
    <w:rsid w:val="004F3587"/>
    <w:rsid w:val="005047BD"/>
    <w:rsid w:val="00506614"/>
    <w:rsid w:val="00512B33"/>
    <w:rsid w:val="005177BE"/>
    <w:rsid w:val="00517DA2"/>
    <w:rsid w:val="00521B2C"/>
    <w:rsid w:val="00522055"/>
    <w:rsid w:val="00525329"/>
    <w:rsid w:val="00530159"/>
    <w:rsid w:val="00541674"/>
    <w:rsid w:val="005452AF"/>
    <w:rsid w:val="00551420"/>
    <w:rsid w:val="00551B96"/>
    <w:rsid w:val="00552B34"/>
    <w:rsid w:val="005639F2"/>
    <w:rsid w:val="005679AC"/>
    <w:rsid w:val="00572F00"/>
    <w:rsid w:val="00577DD0"/>
    <w:rsid w:val="0058447C"/>
    <w:rsid w:val="00585700"/>
    <w:rsid w:val="00586D29"/>
    <w:rsid w:val="0059068F"/>
    <w:rsid w:val="00590A8A"/>
    <w:rsid w:val="005919C7"/>
    <w:rsid w:val="00597047"/>
    <w:rsid w:val="005A2A4A"/>
    <w:rsid w:val="005A6F47"/>
    <w:rsid w:val="005B1533"/>
    <w:rsid w:val="005B1852"/>
    <w:rsid w:val="005B2872"/>
    <w:rsid w:val="005B6A9A"/>
    <w:rsid w:val="005C585E"/>
    <w:rsid w:val="005D20A7"/>
    <w:rsid w:val="005D347B"/>
    <w:rsid w:val="005E1569"/>
    <w:rsid w:val="005E4D39"/>
    <w:rsid w:val="005F34BF"/>
    <w:rsid w:val="005F4CAA"/>
    <w:rsid w:val="005F6D57"/>
    <w:rsid w:val="005F7E91"/>
    <w:rsid w:val="0060472E"/>
    <w:rsid w:val="00605C2D"/>
    <w:rsid w:val="0060633D"/>
    <w:rsid w:val="0060651C"/>
    <w:rsid w:val="006115B5"/>
    <w:rsid w:val="0061538C"/>
    <w:rsid w:val="00615DC4"/>
    <w:rsid w:val="006176F0"/>
    <w:rsid w:val="00625B66"/>
    <w:rsid w:val="00626B9B"/>
    <w:rsid w:val="00633E3C"/>
    <w:rsid w:val="00644C96"/>
    <w:rsid w:val="006467A2"/>
    <w:rsid w:val="00652CE4"/>
    <w:rsid w:val="00672843"/>
    <w:rsid w:val="006765C4"/>
    <w:rsid w:val="00677510"/>
    <w:rsid w:val="00677C37"/>
    <w:rsid w:val="00692B58"/>
    <w:rsid w:val="00694214"/>
    <w:rsid w:val="006A2985"/>
    <w:rsid w:val="006A632C"/>
    <w:rsid w:val="006B0A4B"/>
    <w:rsid w:val="006B24C0"/>
    <w:rsid w:val="006B48FD"/>
    <w:rsid w:val="006C2585"/>
    <w:rsid w:val="006C433C"/>
    <w:rsid w:val="006D57BA"/>
    <w:rsid w:val="006D5F2E"/>
    <w:rsid w:val="006D606E"/>
    <w:rsid w:val="006E28FB"/>
    <w:rsid w:val="006E2AC6"/>
    <w:rsid w:val="006E5706"/>
    <w:rsid w:val="007010E2"/>
    <w:rsid w:val="00705BF3"/>
    <w:rsid w:val="007149E9"/>
    <w:rsid w:val="0072193D"/>
    <w:rsid w:val="00722ABA"/>
    <w:rsid w:val="00725E58"/>
    <w:rsid w:val="007331A8"/>
    <w:rsid w:val="0073333E"/>
    <w:rsid w:val="00735FAC"/>
    <w:rsid w:val="007400A7"/>
    <w:rsid w:val="00740656"/>
    <w:rsid w:val="00741926"/>
    <w:rsid w:val="007452C0"/>
    <w:rsid w:val="00745A7A"/>
    <w:rsid w:val="00745BE3"/>
    <w:rsid w:val="0074728A"/>
    <w:rsid w:val="00747DE6"/>
    <w:rsid w:val="00752527"/>
    <w:rsid w:val="0075277F"/>
    <w:rsid w:val="00754068"/>
    <w:rsid w:val="007545DA"/>
    <w:rsid w:val="00755226"/>
    <w:rsid w:val="00767F7A"/>
    <w:rsid w:val="007742F3"/>
    <w:rsid w:val="007822E5"/>
    <w:rsid w:val="00784D55"/>
    <w:rsid w:val="00785D7D"/>
    <w:rsid w:val="00786AD3"/>
    <w:rsid w:val="0079329C"/>
    <w:rsid w:val="00793C0C"/>
    <w:rsid w:val="007B1CE6"/>
    <w:rsid w:val="007B55AF"/>
    <w:rsid w:val="007C1311"/>
    <w:rsid w:val="007C13CD"/>
    <w:rsid w:val="007C2188"/>
    <w:rsid w:val="007D2483"/>
    <w:rsid w:val="007D2CDA"/>
    <w:rsid w:val="007D3666"/>
    <w:rsid w:val="007D3E85"/>
    <w:rsid w:val="007E2B10"/>
    <w:rsid w:val="007E6D21"/>
    <w:rsid w:val="007E72B0"/>
    <w:rsid w:val="007E72C4"/>
    <w:rsid w:val="007F0856"/>
    <w:rsid w:val="007F2282"/>
    <w:rsid w:val="007F2AB0"/>
    <w:rsid w:val="007F565D"/>
    <w:rsid w:val="007F60A2"/>
    <w:rsid w:val="0080011E"/>
    <w:rsid w:val="00803825"/>
    <w:rsid w:val="008105DC"/>
    <w:rsid w:val="00812045"/>
    <w:rsid w:val="00812271"/>
    <w:rsid w:val="008156E1"/>
    <w:rsid w:val="00815E63"/>
    <w:rsid w:val="00817595"/>
    <w:rsid w:val="0082579E"/>
    <w:rsid w:val="008264EE"/>
    <w:rsid w:val="0083006F"/>
    <w:rsid w:val="008302C3"/>
    <w:rsid w:val="008514B1"/>
    <w:rsid w:val="00851E5B"/>
    <w:rsid w:val="008606C0"/>
    <w:rsid w:val="00861C14"/>
    <w:rsid w:val="00861CC3"/>
    <w:rsid w:val="0087008B"/>
    <w:rsid w:val="00870516"/>
    <w:rsid w:val="00874E9C"/>
    <w:rsid w:val="008765FB"/>
    <w:rsid w:val="00877665"/>
    <w:rsid w:val="00877B5E"/>
    <w:rsid w:val="00882D9F"/>
    <w:rsid w:val="00890560"/>
    <w:rsid w:val="00891212"/>
    <w:rsid w:val="0089317E"/>
    <w:rsid w:val="008945E8"/>
    <w:rsid w:val="00895000"/>
    <w:rsid w:val="00896AED"/>
    <w:rsid w:val="008973A9"/>
    <w:rsid w:val="008A12F3"/>
    <w:rsid w:val="008A64DD"/>
    <w:rsid w:val="008B4F4B"/>
    <w:rsid w:val="008C155D"/>
    <w:rsid w:val="008C3511"/>
    <w:rsid w:val="008C5066"/>
    <w:rsid w:val="008C660C"/>
    <w:rsid w:val="008D1084"/>
    <w:rsid w:val="008E0457"/>
    <w:rsid w:val="008E1124"/>
    <w:rsid w:val="008E48B5"/>
    <w:rsid w:val="008F13EB"/>
    <w:rsid w:val="008F1C48"/>
    <w:rsid w:val="008F5683"/>
    <w:rsid w:val="009015DC"/>
    <w:rsid w:val="0090284C"/>
    <w:rsid w:val="00905B5A"/>
    <w:rsid w:val="009166F3"/>
    <w:rsid w:val="009206C1"/>
    <w:rsid w:val="00921E4C"/>
    <w:rsid w:val="00922D30"/>
    <w:rsid w:val="00925022"/>
    <w:rsid w:val="0093213E"/>
    <w:rsid w:val="009344A6"/>
    <w:rsid w:val="00942231"/>
    <w:rsid w:val="00943531"/>
    <w:rsid w:val="00945526"/>
    <w:rsid w:val="0095599F"/>
    <w:rsid w:val="00955CBA"/>
    <w:rsid w:val="00956A5F"/>
    <w:rsid w:val="009619F6"/>
    <w:rsid w:val="00961FA7"/>
    <w:rsid w:val="00961FEA"/>
    <w:rsid w:val="009626DF"/>
    <w:rsid w:val="00963F19"/>
    <w:rsid w:val="009654B7"/>
    <w:rsid w:val="009662D4"/>
    <w:rsid w:val="00982749"/>
    <w:rsid w:val="009839DE"/>
    <w:rsid w:val="009843C2"/>
    <w:rsid w:val="00994E3E"/>
    <w:rsid w:val="0099697E"/>
    <w:rsid w:val="009A0CF8"/>
    <w:rsid w:val="009A2195"/>
    <w:rsid w:val="009A3471"/>
    <w:rsid w:val="009A4828"/>
    <w:rsid w:val="009A68F0"/>
    <w:rsid w:val="009A7981"/>
    <w:rsid w:val="009B5A9C"/>
    <w:rsid w:val="009B641A"/>
    <w:rsid w:val="009B759F"/>
    <w:rsid w:val="009C1F6C"/>
    <w:rsid w:val="009C2AE8"/>
    <w:rsid w:val="009D0075"/>
    <w:rsid w:val="009D0410"/>
    <w:rsid w:val="009D08A9"/>
    <w:rsid w:val="009E2FC3"/>
    <w:rsid w:val="009F6817"/>
    <w:rsid w:val="009F7423"/>
    <w:rsid w:val="009F7E0C"/>
    <w:rsid w:val="00A016C9"/>
    <w:rsid w:val="00A06F35"/>
    <w:rsid w:val="00A07CCD"/>
    <w:rsid w:val="00A13D95"/>
    <w:rsid w:val="00A16B68"/>
    <w:rsid w:val="00A24C21"/>
    <w:rsid w:val="00A25940"/>
    <w:rsid w:val="00A26155"/>
    <w:rsid w:val="00A27994"/>
    <w:rsid w:val="00A303BC"/>
    <w:rsid w:val="00A3224B"/>
    <w:rsid w:val="00A32DC5"/>
    <w:rsid w:val="00A348C6"/>
    <w:rsid w:val="00A36B79"/>
    <w:rsid w:val="00A4204C"/>
    <w:rsid w:val="00A4410E"/>
    <w:rsid w:val="00A55939"/>
    <w:rsid w:val="00A66879"/>
    <w:rsid w:val="00A7659D"/>
    <w:rsid w:val="00A77E40"/>
    <w:rsid w:val="00A83A81"/>
    <w:rsid w:val="00A911FC"/>
    <w:rsid w:val="00A922D0"/>
    <w:rsid w:val="00AA1530"/>
    <w:rsid w:val="00AA1585"/>
    <w:rsid w:val="00AA3DA3"/>
    <w:rsid w:val="00AA447C"/>
    <w:rsid w:val="00AA6D00"/>
    <w:rsid w:val="00AA6D28"/>
    <w:rsid w:val="00AA77DE"/>
    <w:rsid w:val="00AB0664"/>
    <w:rsid w:val="00AB4426"/>
    <w:rsid w:val="00AB5D6C"/>
    <w:rsid w:val="00AB62B2"/>
    <w:rsid w:val="00AC0EEC"/>
    <w:rsid w:val="00AC135F"/>
    <w:rsid w:val="00AC61AE"/>
    <w:rsid w:val="00AD174F"/>
    <w:rsid w:val="00AE2DF1"/>
    <w:rsid w:val="00AE6794"/>
    <w:rsid w:val="00AF05E8"/>
    <w:rsid w:val="00AF103F"/>
    <w:rsid w:val="00AF3827"/>
    <w:rsid w:val="00AF5356"/>
    <w:rsid w:val="00AF5C9D"/>
    <w:rsid w:val="00AF6892"/>
    <w:rsid w:val="00AF78A1"/>
    <w:rsid w:val="00B0238B"/>
    <w:rsid w:val="00B03DCD"/>
    <w:rsid w:val="00B045B0"/>
    <w:rsid w:val="00B053C1"/>
    <w:rsid w:val="00B0566C"/>
    <w:rsid w:val="00B05BA2"/>
    <w:rsid w:val="00B06E56"/>
    <w:rsid w:val="00B12348"/>
    <w:rsid w:val="00B158EC"/>
    <w:rsid w:val="00B25372"/>
    <w:rsid w:val="00B27371"/>
    <w:rsid w:val="00B336D1"/>
    <w:rsid w:val="00B34783"/>
    <w:rsid w:val="00B37D17"/>
    <w:rsid w:val="00B41B9D"/>
    <w:rsid w:val="00B428FD"/>
    <w:rsid w:val="00B43187"/>
    <w:rsid w:val="00B466E5"/>
    <w:rsid w:val="00B4742D"/>
    <w:rsid w:val="00B50B60"/>
    <w:rsid w:val="00B538B1"/>
    <w:rsid w:val="00B55D8C"/>
    <w:rsid w:val="00B57A93"/>
    <w:rsid w:val="00B6218C"/>
    <w:rsid w:val="00B62F6F"/>
    <w:rsid w:val="00B676F9"/>
    <w:rsid w:val="00B74EE4"/>
    <w:rsid w:val="00B80599"/>
    <w:rsid w:val="00B84202"/>
    <w:rsid w:val="00B85552"/>
    <w:rsid w:val="00B9132B"/>
    <w:rsid w:val="00B95779"/>
    <w:rsid w:val="00B95946"/>
    <w:rsid w:val="00B9779C"/>
    <w:rsid w:val="00BA1986"/>
    <w:rsid w:val="00BA3143"/>
    <w:rsid w:val="00BA4609"/>
    <w:rsid w:val="00BA4A9A"/>
    <w:rsid w:val="00BB021E"/>
    <w:rsid w:val="00BB1330"/>
    <w:rsid w:val="00BB6A75"/>
    <w:rsid w:val="00BB7479"/>
    <w:rsid w:val="00BC5A63"/>
    <w:rsid w:val="00BC6462"/>
    <w:rsid w:val="00BC6EAE"/>
    <w:rsid w:val="00BD1390"/>
    <w:rsid w:val="00BD31B2"/>
    <w:rsid w:val="00BD31F5"/>
    <w:rsid w:val="00BD66D4"/>
    <w:rsid w:val="00BE084F"/>
    <w:rsid w:val="00BE2DF5"/>
    <w:rsid w:val="00BE41D1"/>
    <w:rsid w:val="00BE5598"/>
    <w:rsid w:val="00BE6DEF"/>
    <w:rsid w:val="00BE7E04"/>
    <w:rsid w:val="00BF0CD9"/>
    <w:rsid w:val="00BF0DBF"/>
    <w:rsid w:val="00BF59EB"/>
    <w:rsid w:val="00BF6004"/>
    <w:rsid w:val="00BF7170"/>
    <w:rsid w:val="00C00476"/>
    <w:rsid w:val="00C1021D"/>
    <w:rsid w:val="00C10FCA"/>
    <w:rsid w:val="00C12337"/>
    <w:rsid w:val="00C15A52"/>
    <w:rsid w:val="00C23A77"/>
    <w:rsid w:val="00C25F9F"/>
    <w:rsid w:val="00C3398B"/>
    <w:rsid w:val="00C360F3"/>
    <w:rsid w:val="00C407F7"/>
    <w:rsid w:val="00C45909"/>
    <w:rsid w:val="00C45C85"/>
    <w:rsid w:val="00C516D7"/>
    <w:rsid w:val="00C544A6"/>
    <w:rsid w:val="00C54AAA"/>
    <w:rsid w:val="00C55321"/>
    <w:rsid w:val="00C61128"/>
    <w:rsid w:val="00C664E8"/>
    <w:rsid w:val="00C66D9A"/>
    <w:rsid w:val="00C74271"/>
    <w:rsid w:val="00C85DAB"/>
    <w:rsid w:val="00C91B4F"/>
    <w:rsid w:val="00C92196"/>
    <w:rsid w:val="00C92694"/>
    <w:rsid w:val="00C9284F"/>
    <w:rsid w:val="00C9492D"/>
    <w:rsid w:val="00C95DDB"/>
    <w:rsid w:val="00CA1B57"/>
    <w:rsid w:val="00CA6BEB"/>
    <w:rsid w:val="00CB0C2C"/>
    <w:rsid w:val="00CB4970"/>
    <w:rsid w:val="00CC61C5"/>
    <w:rsid w:val="00CC6747"/>
    <w:rsid w:val="00CC6A74"/>
    <w:rsid w:val="00CD2D64"/>
    <w:rsid w:val="00CD4890"/>
    <w:rsid w:val="00CD4B02"/>
    <w:rsid w:val="00CE0EA4"/>
    <w:rsid w:val="00CE1E54"/>
    <w:rsid w:val="00CE6DCA"/>
    <w:rsid w:val="00CE7742"/>
    <w:rsid w:val="00CF136D"/>
    <w:rsid w:val="00CF27FE"/>
    <w:rsid w:val="00CF48B4"/>
    <w:rsid w:val="00CF54B8"/>
    <w:rsid w:val="00CF60AC"/>
    <w:rsid w:val="00D0053B"/>
    <w:rsid w:val="00D00D5D"/>
    <w:rsid w:val="00D0116C"/>
    <w:rsid w:val="00D10FDD"/>
    <w:rsid w:val="00D11037"/>
    <w:rsid w:val="00D12DD7"/>
    <w:rsid w:val="00D14B26"/>
    <w:rsid w:val="00D201DE"/>
    <w:rsid w:val="00D202EA"/>
    <w:rsid w:val="00D209D7"/>
    <w:rsid w:val="00D2398C"/>
    <w:rsid w:val="00D265AA"/>
    <w:rsid w:val="00D304BB"/>
    <w:rsid w:val="00D3226B"/>
    <w:rsid w:val="00D4328C"/>
    <w:rsid w:val="00D468E8"/>
    <w:rsid w:val="00D50646"/>
    <w:rsid w:val="00D5450D"/>
    <w:rsid w:val="00D559DE"/>
    <w:rsid w:val="00D57B17"/>
    <w:rsid w:val="00D630E3"/>
    <w:rsid w:val="00D664EC"/>
    <w:rsid w:val="00D665D2"/>
    <w:rsid w:val="00D708C8"/>
    <w:rsid w:val="00D719AE"/>
    <w:rsid w:val="00D74D12"/>
    <w:rsid w:val="00D77E9E"/>
    <w:rsid w:val="00D821DB"/>
    <w:rsid w:val="00D90074"/>
    <w:rsid w:val="00D90F07"/>
    <w:rsid w:val="00D95CC0"/>
    <w:rsid w:val="00D96D71"/>
    <w:rsid w:val="00D976E2"/>
    <w:rsid w:val="00DB5D73"/>
    <w:rsid w:val="00DB7017"/>
    <w:rsid w:val="00DC2BE2"/>
    <w:rsid w:val="00DC38A4"/>
    <w:rsid w:val="00DC75EE"/>
    <w:rsid w:val="00DC7BEA"/>
    <w:rsid w:val="00DD4697"/>
    <w:rsid w:val="00DD6344"/>
    <w:rsid w:val="00DE0838"/>
    <w:rsid w:val="00DE3CF3"/>
    <w:rsid w:val="00DE7040"/>
    <w:rsid w:val="00DF2BF1"/>
    <w:rsid w:val="00DF4640"/>
    <w:rsid w:val="00DF4E45"/>
    <w:rsid w:val="00DF682F"/>
    <w:rsid w:val="00DF725F"/>
    <w:rsid w:val="00E00889"/>
    <w:rsid w:val="00E00B6D"/>
    <w:rsid w:val="00E1762B"/>
    <w:rsid w:val="00E224C6"/>
    <w:rsid w:val="00E22A5B"/>
    <w:rsid w:val="00E237D9"/>
    <w:rsid w:val="00E25A2F"/>
    <w:rsid w:val="00E27DB5"/>
    <w:rsid w:val="00E302F1"/>
    <w:rsid w:val="00E31770"/>
    <w:rsid w:val="00E32614"/>
    <w:rsid w:val="00E3350E"/>
    <w:rsid w:val="00E373DA"/>
    <w:rsid w:val="00E469FB"/>
    <w:rsid w:val="00E5428C"/>
    <w:rsid w:val="00E545C7"/>
    <w:rsid w:val="00E554F5"/>
    <w:rsid w:val="00E55C44"/>
    <w:rsid w:val="00E56C43"/>
    <w:rsid w:val="00E74AF0"/>
    <w:rsid w:val="00E811B3"/>
    <w:rsid w:val="00E843F0"/>
    <w:rsid w:val="00E86A45"/>
    <w:rsid w:val="00E9016B"/>
    <w:rsid w:val="00E90BB9"/>
    <w:rsid w:val="00E91B66"/>
    <w:rsid w:val="00E92623"/>
    <w:rsid w:val="00E93A1B"/>
    <w:rsid w:val="00E96CA1"/>
    <w:rsid w:val="00E97BD1"/>
    <w:rsid w:val="00E97EBA"/>
    <w:rsid w:val="00EA3C76"/>
    <w:rsid w:val="00EB169E"/>
    <w:rsid w:val="00EB1E2E"/>
    <w:rsid w:val="00EB2953"/>
    <w:rsid w:val="00EC0476"/>
    <w:rsid w:val="00EC0CD7"/>
    <w:rsid w:val="00EC2041"/>
    <w:rsid w:val="00EC36B2"/>
    <w:rsid w:val="00ED12E2"/>
    <w:rsid w:val="00ED5E0C"/>
    <w:rsid w:val="00ED72A7"/>
    <w:rsid w:val="00EE1DD0"/>
    <w:rsid w:val="00EE4E32"/>
    <w:rsid w:val="00EE7C80"/>
    <w:rsid w:val="00EF74C5"/>
    <w:rsid w:val="00EF774C"/>
    <w:rsid w:val="00F003FB"/>
    <w:rsid w:val="00F0149E"/>
    <w:rsid w:val="00F01546"/>
    <w:rsid w:val="00F037CB"/>
    <w:rsid w:val="00F055FE"/>
    <w:rsid w:val="00F07C9A"/>
    <w:rsid w:val="00F2137B"/>
    <w:rsid w:val="00F30B3B"/>
    <w:rsid w:val="00F314F9"/>
    <w:rsid w:val="00F33AE9"/>
    <w:rsid w:val="00F42CE3"/>
    <w:rsid w:val="00F430B3"/>
    <w:rsid w:val="00F4623F"/>
    <w:rsid w:val="00F47B22"/>
    <w:rsid w:val="00F55D12"/>
    <w:rsid w:val="00F55F0E"/>
    <w:rsid w:val="00F57097"/>
    <w:rsid w:val="00F60B45"/>
    <w:rsid w:val="00F60E73"/>
    <w:rsid w:val="00F611B0"/>
    <w:rsid w:val="00F61420"/>
    <w:rsid w:val="00F66D05"/>
    <w:rsid w:val="00F66FB6"/>
    <w:rsid w:val="00F67F7F"/>
    <w:rsid w:val="00F72207"/>
    <w:rsid w:val="00F744C8"/>
    <w:rsid w:val="00F75C5A"/>
    <w:rsid w:val="00F75D5C"/>
    <w:rsid w:val="00F8328E"/>
    <w:rsid w:val="00F845E3"/>
    <w:rsid w:val="00F860D0"/>
    <w:rsid w:val="00F87404"/>
    <w:rsid w:val="00F87818"/>
    <w:rsid w:val="00F90BA7"/>
    <w:rsid w:val="00F91278"/>
    <w:rsid w:val="00FA310C"/>
    <w:rsid w:val="00FA3DD7"/>
    <w:rsid w:val="00FA42F7"/>
    <w:rsid w:val="00FA73F6"/>
    <w:rsid w:val="00FC33BB"/>
    <w:rsid w:val="00FC390C"/>
    <w:rsid w:val="00FD2EC9"/>
    <w:rsid w:val="00FD404A"/>
    <w:rsid w:val="00FE0D16"/>
    <w:rsid w:val="00FE27DE"/>
    <w:rsid w:val="00FE4B4B"/>
    <w:rsid w:val="00FE5CC5"/>
    <w:rsid w:val="00FF6550"/>
    <w:rsid w:val="05E07CA6"/>
    <w:rsid w:val="07A76BA8"/>
    <w:rsid w:val="11D42CB9"/>
    <w:rsid w:val="149027B2"/>
    <w:rsid w:val="1DB37FE4"/>
    <w:rsid w:val="1EEE18C3"/>
    <w:rsid w:val="2A0E75FE"/>
    <w:rsid w:val="3E5E2407"/>
    <w:rsid w:val="664876AE"/>
    <w:rsid w:val="7F7B79DF"/>
    <w:rsid w:val="F7DFD9B4"/>
    <w:rsid w:val="FD5E1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45"/>
    <w:qFormat/>
    <w:uiPriority w:val="0"/>
    <w:pPr>
      <w:keepNext/>
      <w:jc w:val="center"/>
      <w:outlineLvl w:val="0"/>
    </w:pPr>
    <w:rPr>
      <w:rFonts w:eastAsia="黑体"/>
      <w:b/>
      <w:sz w:val="30"/>
      <w:szCs w:val="20"/>
    </w:rPr>
  </w:style>
  <w:style w:type="paragraph" w:styleId="3">
    <w:name w:val="heading 2"/>
    <w:basedOn w:val="1"/>
    <w:next w:val="1"/>
    <w:link w:val="44"/>
    <w:qFormat/>
    <w:uiPriority w:val="0"/>
    <w:pPr>
      <w:keepNext/>
      <w:keepLines/>
      <w:spacing w:before="260" w:after="260" w:line="416" w:lineRule="auto"/>
      <w:jc w:val="center"/>
      <w:outlineLvl w:val="1"/>
    </w:pPr>
    <w:rPr>
      <w:rFonts w:ascii="Arial" w:hAnsi="Arial" w:eastAsia="黑体"/>
      <w:b/>
      <w:bCs/>
      <w:sz w:val="24"/>
      <w:szCs w:val="32"/>
    </w:rPr>
  </w:style>
  <w:style w:type="paragraph" w:styleId="4">
    <w:name w:val="heading 3"/>
    <w:basedOn w:val="3"/>
    <w:next w:val="5"/>
    <w:link w:val="46"/>
    <w:qFormat/>
    <w:uiPriority w:val="0"/>
    <w:pPr>
      <w:keepLines w:val="0"/>
      <w:widowControl/>
      <w:spacing w:before="240" w:after="120" w:line="240" w:lineRule="auto"/>
      <w:jc w:val="left"/>
      <w:outlineLvl w:val="2"/>
    </w:pPr>
    <w:rPr>
      <w:rFonts w:eastAsia="宋体"/>
      <w:bCs w:val="0"/>
      <w:i/>
      <w:sz w:val="22"/>
      <w:szCs w:val="20"/>
      <w:lang w:val="en-GB" w:eastAsia="en-US"/>
    </w:rPr>
  </w:style>
  <w:style w:type="paragraph" w:styleId="6">
    <w:name w:val="heading 4"/>
    <w:basedOn w:val="4"/>
    <w:next w:val="5"/>
    <w:link w:val="41"/>
    <w:qFormat/>
    <w:uiPriority w:val="0"/>
    <w:pPr>
      <w:spacing w:before="120"/>
      <w:outlineLvl w:val="3"/>
    </w:pPr>
  </w:style>
  <w:style w:type="paragraph" w:styleId="7">
    <w:name w:val="heading 5"/>
    <w:basedOn w:val="6"/>
    <w:next w:val="5"/>
    <w:link w:val="56"/>
    <w:qFormat/>
    <w:uiPriority w:val="0"/>
    <w:pPr>
      <w:outlineLvl w:val="4"/>
    </w:pPr>
  </w:style>
  <w:style w:type="paragraph" w:styleId="8">
    <w:name w:val="heading 6"/>
    <w:basedOn w:val="7"/>
    <w:next w:val="5"/>
    <w:link w:val="48"/>
    <w:qFormat/>
    <w:uiPriority w:val="0"/>
    <w:pPr>
      <w:outlineLvl w:val="5"/>
    </w:pPr>
  </w:style>
  <w:style w:type="paragraph" w:styleId="9">
    <w:name w:val="heading 7"/>
    <w:basedOn w:val="8"/>
    <w:next w:val="5"/>
    <w:link w:val="58"/>
    <w:qFormat/>
    <w:uiPriority w:val="0"/>
    <w:pPr>
      <w:outlineLvl w:val="6"/>
    </w:pPr>
  </w:style>
  <w:style w:type="paragraph" w:styleId="10">
    <w:name w:val="heading 8"/>
    <w:basedOn w:val="9"/>
    <w:next w:val="5"/>
    <w:link w:val="53"/>
    <w:qFormat/>
    <w:uiPriority w:val="0"/>
    <w:pPr>
      <w:outlineLvl w:val="7"/>
    </w:pPr>
  </w:style>
  <w:style w:type="paragraph" w:styleId="11">
    <w:name w:val="heading 9"/>
    <w:basedOn w:val="10"/>
    <w:next w:val="5"/>
    <w:link w:val="61"/>
    <w:qFormat/>
    <w:uiPriority w:val="0"/>
    <w:pPr>
      <w:outlineLvl w:val="8"/>
    </w:p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customStyle="1" w:styleId="5">
    <w:name w:val="Paragraph"/>
    <w:basedOn w:val="1"/>
    <w:link w:val="50"/>
    <w:qFormat/>
    <w:uiPriority w:val="0"/>
    <w:pPr>
      <w:widowControl/>
      <w:spacing w:after="240"/>
    </w:pPr>
    <w:rPr>
      <w:rFonts w:ascii="Arial" w:hAnsi="Arial"/>
      <w:kern w:val="0"/>
      <w:sz w:val="22"/>
      <w:szCs w:val="20"/>
      <w:lang w:val="en-GB" w:eastAsia="en-US"/>
    </w:rPr>
  </w:style>
  <w:style w:type="paragraph" w:styleId="12">
    <w:name w:val="caption"/>
    <w:basedOn w:val="1"/>
    <w:next w:val="1"/>
    <w:qFormat/>
    <w:uiPriority w:val="0"/>
    <w:pPr>
      <w:widowControl/>
      <w:spacing w:before="120" w:after="120" w:line="360" w:lineRule="auto"/>
      <w:ind w:left="1276" w:hanging="1276"/>
    </w:pPr>
    <w:rPr>
      <w:rFonts w:ascii="Arial" w:hAnsi="Arial"/>
      <w:b/>
      <w:i/>
      <w:kern w:val="0"/>
      <w:sz w:val="20"/>
      <w:szCs w:val="20"/>
      <w:lang w:val="de-DE" w:eastAsia="en-GB"/>
    </w:rPr>
  </w:style>
  <w:style w:type="paragraph" w:styleId="13">
    <w:name w:val="Document Map"/>
    <w:basedOn w:val="1"/>
    <w:semiHidden/>
    <w:qFormat/>
    <w:uiPriority w:val="0"/>
    <w:pPr>
      <w:shd w:val="clear" w:color="auto" w:fill="000080"/>
    </w:pPr>
  </w:style>
  <w:style w:type="paragraph" w:styleId="14">
    <w:name w:val="annotation text"/>
    <w:basedOn w:val="1"/>
    <w:link w:val="39"/>
    <w:qFormat/>
    <w:uiPriority w:val="0"/>
    <w:pPr>
      <w:jc w:val="left"/>
    </w:pPr>
    <w:rPr>
      <w:szCs w:val="20"/>
    </w:rPr>
  </w:style>
  <w:style w:type="paragraph" w:styleId="15">
    <w:name w:val="Body Text"/>
    <w:basedOn w:val="1"/>
    <w:link w:val="59"/>
    <w:qFormat/>
    <w:uiPriority w:val="0"/>
    <w:rPr>
      <w:rFonts w:ascii="仿宋_GB2312" w:hAnsi="宋体" w:eastAsia="仿宋_GB2312"/>
      <w:sz w:val="30"/>
      <w:szCs w:val="20"/>
    </w:rPr>
  </w:style>
  <w:style w:type="paragraph" w:styleId="16">
    <w:name w:val="Body Text Indent"/>
    <w:basedOn w:val="1"/>
    <w:qFormat/>
    <w:uiPriority w:val="0"/>
    <w:pPr>
      <w:tabs>
        <w:tab w:val="left" w:pos="3240"/>
      </w:tabs>
      <w:ind w:firstLine="600" w:firstLineChars="200"/>
    </w:pPr>
    <w:rPr>
      <w:rFonts w:ascii="仿宋_GB2312" w:hAnsi="宋体" w:eastAsia="仿宋_GB2312"/>
      <w:sz w:val="30"/>
      <w:szCs w:val="20"/>
    </w:rPr>
  </w:style>
  <w:style w:type="paragraph" w:styleId="17">
    <w:name w:val="Plain Text"/>
    <w:basedOn w:val="1"/>
    <w:link w:val="57"/>
    <w:qFormat/>
    <w:uiPriority w:val="0"/>
    <w:pPr>
      <w:widowControl/>
      <w:jc w:val="left"/>
    </w:pPr>
    <w:rPr>
      <w:rFonts w:ascii="Consolas" w:hAnsi="Consolas"/>
      <w:kern w:val="0"/>
      <w:szCs w:val="21"/>
      <w:lang w:eastAsia="en-US"/>
    </w:rPr>
  </w:style>
  <w:style w:type="paragraph" w:styleId="18">
    <w:name w:val="Date"/>
    <w:basedOn w:val="1"/>
    <w:next w:val="1"/>
    <w:qFormat/>
    <w:uiPriority w:val="0"/>
    <w:pPr>
      <w:ind w:left="100" w:leftChars="2500"/>
    </w:pPr>
  </w:style>
  <w:style w:type="paragraph" w:styleId="19">
    <w:name w:val="Body Text Indent 2"/>
    <w:basedOn w:val="1"/>
    <w:qFormat/>
    <w:uiPriority w:val="0"/>
    <w:pPr>
      <w:spacing w:after="100" w:line="360" w:lineRule="auto"/>
      <w:ind w:firstLine="600" w:firstLineChars="200"/>
    </w:pPr>
    <w:rPr>
      <w:rFonts w:ascii="仿宋_GB2312" w:eastAsia="仿宋_GB2312"/>
      <w:sz w:val="30"/>
    </w:rPr>
  </w:style>
  <w:style w:type="paragraph" w:styleId="20">
    <w:name w:val="endnote text"/>
    <w:basedOn w:val="1"/>
    <w:qFormat/>
    <w:uiPriority w:val="0"/>
    <w:pPr>
      <w:snapToGrid w:val="0"/>
      <w:jc w:val="left"/>
    </w:pPr>
  </w:style>
  <w:style w:type="paragraph" w:styleId="21">
    <w:name w:val="Balloon Text"/>
    <w:basedOn w:val="1"/>
    <w:semiHidden/>
    <w:qFormat/>
    <w:uiPriority w:val="0"/>
    <w:rPr>
      <w:sz w:val="18"/>
      <w:szCs w:val="18"/>
    </w:rPr>
  </w:style>
  <w:style w:type="paragraph" w:styleId="22">
    <w:name w:val="footer"/>
    <w:basedOn w:val="1"/>
    <w:link w:val="47"/>
    <w:qFormat/>
    <w:uiPriority w:val="0"/>
    <w:pPr>
      <w:tabs>
        <w:tab w:val="center" w:pos="4153"/>
        <w:tab w:val="right" w:pos="8306"/>
      </w:tabs>
      <w:snapToGrid w:val="0"/>
      <w:jc w:val="left"/>
    </w:pPr>
    <w:rPr>
      <w:sz w:val="18"/>
      <w:szCs w:val="18"/>
    </w:rPr>
  </w:style>
  <w:style w:type="paragraph" w:styleId="23">
    <w:name w:val="header"/>
    <w:basedOn w:val="1"/>
    <w:link w:val="60"/>
    <w:qFormat/>
    <w:uiPriority w:val="0"/>
    <w:pPr>
      <w:pBdr>
        <w:bottom w:val="single" w:color="auto" w:sz="6" w:space="1"/>
      </w:pBdr>
      <w:tabs>
        <w:tab w:val="center" w:pos="4153"/>
        <w:tab w:val="right" w:pos="8306"/>
      </w:tabs>
      <w:snapToGrid w:val="0"/>
      <w:jc w:val="center"/>
    </w:pPr>
    <w:rPr>
      <w:rFonts w:eastAsia="黑体"/>
      <w:b/>
      <w:sz w:val="30"/>
      <w:szCs w:val="20"/>
    </w:rPr>
  </w:style>
  <w:style w:type="paragraph" w:styleId="24">
    <w:name w:val="footnote text"/>
    <w:basedOn w:val="1"/>
    <w:link w:val="54"/>
    <w:semiHidden/>
    <w:qFormat/>
    <w:uiPriority w:val="0"/>
    <w:pPr>
      <w:snapToGrid w:val="0"/>
      <w:jc w:val="left"/>
    </w:pPr>
    <w:rPr>
      <w:sz w:val="18"/>
      <w:szCs w:val="18"/>
    </w:rPr>
  </w:style>
  <w:style w:type="paragraph" w:styleId="25">
    <w:name w:val="Body Text Indent 3"/>
    <w:basedOn w:val="1"/>
    <w:qFormat/>
    <w:uiPriority w:val="0"/>
    <w:pPr>
      <w:tabs>
        <w:tab w:val="left" w:pos="3240"/>
      </w:tabs>
      <w:spacing w:line="360" w:lineRule="auto"/>
      <w:ind w:firstLine="540"/>
    </w:pPr>
    <w:rPr>
      <w:rFonts w:ascii="仿宋_GB2312" w:eastAsia="仿宋_GB2312"/>
      <w:sz w:val="24"/>
      <w:szCs w:val="20"/>
    </w:rPr>
  </w:style>
  <w:style w:type="paragraph" w:styleId="26">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27">
    <w:name w:val="Title"/>
    <w:basedOn w:val="1"/>
    <w:link w:val="63"/>
    <w:qFormat/>
    <w:uiPriority w:val="0"/>
    <w:pPr>
      <w:widowControl/>
      <w:spacing w:line="360" w:lineRule="auto"/>
      <w:jc w:val="center"/>
    </w:pPr>
    <w:rPr>
      <w:rFonts w:ascii="Arial" w:hAnsi="Arial"/>
      <w:b/>
      <w:kern w:val="0"/>
      <w:sz w:val="28"/>
      <w:szCs w:val="20"/>
      <w:lang w:val="de-DE" w:eastAsia="en-GB"/>
    </w:rPr>
  </w:style>
  <w:style w:type="paragraph" w:styleId="28">
    <w:name w:val="annotation subject"/>
    <w:basedOn w:val="14"/>
    <w:next w:val="14"/>
    <w:link w:val="144"/>
    <w:qFormat/>
    <w:uiPriority w:val="0"/>
    <w:rPr>
      <w:b/>
      <w:bCs/>
      <w:szCs w:val="24"/>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0"/>
    <w:rPr>
      <w:b/>
      <w:bCs/>
    </w:rPr>
  </w:style>
  <w:style w:type="character" w:styleId="33">
    <w:name w:val="endnote reference"/>
    <w:qFormat/>
    <w:uiPriority w:val="0"/>
    <w:rPr>
      <w:vertAlign w:val="superscript"/>
    </w:rPr>
  </w:style>
  <w:style w:type="character" w:styleId="34">
    <w:name w:val="page number"/>
    <w:basedOn w:val="31"/>
    <w:qFormat/>
    <w:uiPriority w:val="0"/>
  </w:style>
  <w:style w:type="character" w:styleId="35">
    <w:name w:val="FollowedHyperlink"/>
    <w:qFormat/>
    <w:uiPriority w:val="0"/>
    <w:rPr>
      <w:rFonts w:ascii="Arial" w:hAnsi="Arial"/>
      <w:color w:val="auto"/>
      <w:sz w:val="20"/>
      <w:u w:val="none"/>
    </w:rPr>
  </w:style>
  <w:style w:type="character" w:styleId="36">
    <w:name w:val="Hyperlink"/>
    <w:qFormat/>
    <w:uiPriority w:val="0"/>
    <w:rPr>
      <w:color w:val="3366CC"/>
      <w:u w:val="single"/>
    </w:rPr>
  </w:style>
  <w:style w:type="character" w:styleId="37">
    <w:name w:val="annotation reference"/>
    <w:semiHidden/>
    <w:qFormat/>
    <w:uiPriority w:val="0"/>
    <w:rPr>
      <w:sz w:val="21"/>
      <w:szCs w:val="21"/>
    </w:rPr>
  </w:style>
  <w:style w:type="character" w:styleId="38">
    <w:name w:val="footnote reference"/>
    <w:semiHidden/>
    <w:qFormat/>
    <w:uiPriority w:val="0"/>
    <w:rPr>
      <w:vertAlign w:val="superscript"/>
    </w:rPr>
  </w:style>
  <w:style w:type="character" w:customStyle="1" w:styleId="39">
    <w:name w:val="批注文字 字符"/>
    <w:link w:val="14"/>
    <w:qFormat/>
    <w:uiPriority w:val="0"/>
    <w:rPr>
      <w:rFonts w:eastAsia="宋体"/>
      <w:kern w:val="2"/>
      <w:sz w:val="21"/>
      <w:lang w:val="en-US" w:eastAsia="zh-CN" w:bidi="ar-SA"/>
    </w:rPr>
  </w:style>
  <w:style w:type="character" w:customStyle="1" w:styleId="40">
    <w:name w:val="style21"/>
    <w:qFormat/>
    <w:uiPriority w:val="0"/>
    <w:rPr>
      <w:color w:val="0000A0"/>
      <w:sz w:val="33"/>
      <w:szCs w:val="33"/>
    </w:rPr>
  </w:style>
  <w:style w:type="character" w:customStyle="1" w:styleId="41">
    <w:name w:val="标题 4 字符"/>
    <w:link w:val="6"/>
    <w:qFormat/>
    <w:uiPriority w:val="0"/>
    <w:rPr>
      <w:rFonts w:ascii="Arial" w:hAnsi="Arial" w:eastAsia="宋体"/>
      <w:b/>
      <w:i/>
      <w:kern w:val="2"/>
      <w:sz w:val="22"/>
      <w:lang w:val="en-GB" w:eastAsia="en-US" w:bidi="ar-SA"/>
    </w:rPr>
  </w:style>
  <w:style w:type="character" w:customStyle="1" w:styleId="42">
    <w:name w:val="Bullets Char"/>
    <w:link w:val="43"/>
    <w:qFormat/>
    <w:uiPriority w:val="0"/>
    <w:rPr>
      <w:rFonts w:ascii="Arial" w:hAnsi="Arial" w:eastAsia="MS Mincho"/>
      <w:sz w:val="22"/>
      <w:lang w:val="en-GB" w:eastAsia="ja-JP" w:bidi="ar-SA"/>
    </w:rPr>
  </w:style>
  <w:style w:type="paragraph" w:customStyle="1" w:styleId="43">
    <w:name w:val="Bullets"/>
    <w:basedOn w:val="1"/>
    <w:link w:val="42"/>
    <w:qFormat/>
    <w:uiPriority w:val="0"/>
    <w:pPr>
      <w:widowControl/>
      <w:spacing w:after="120"/>
      <w:ind w:left="720" w:hanging="360"/>
    </w:pPr>
    <w:rPr>
      <w:rFonts w:ascii="Arial" w:hAnsi="Arial" w:eastAsia="MS Mincho"/>
      <w:kern w:val="0"/>
      <w:sz w:val="22"/>
      <w:szCs w:val="20"/>
      <w:lang w:val="en-GB" w:eastAsia="ja-JP"/>
    </w:rPr>
  </w:style>
  <w:style w:type="character" w:customStyle="1" w:styleId="44">
    <w:name w:val="标题 2 字符"/>
    <w:link w:val="3"/>
    <w:qFormat/>
    <w:uiPriority w:val="0"/>
    <w:rPr>
      <w:rFonts w:ascii="Arial" w:hAnsi="Arial" w:eastAsia="黑体"/>
      <w:b/>
      <w:bCs/>
      <w:kern w:val="2"/>
      <w:sz w:val="24"/>
      <w:szCs w:val="32"/>
      <w:lang w:val="en-US" w:eastAsia="zh-CN" w:bidi="ar-SA"/>
    </w:rPr>
  </w:style>
  <w:style w:type="character" w:customStyle="1" w:styleId="45">
    <w:name w:val="标题 1 字符"/>
    <w:link w:val="2"/>
    <w:qFormat/>
    <w:uiPriority w:val="0"/>
    <w:rPr>
      <w:rFonts w:eastAsia="黑体"/>
      <w:b/>
      <w:kern w:val="2"/>
      <w:sz w:val="30"/>
      <w:lang w:val="en-US" w:eastAsia="zh-CN" w:bidi="ar-SA"/>
    </w:rPr>
  </w:style>
  <w:style w:type="character" w:customStyle="1" w:styleId="46">
    <w:name w:val="标题 3 字符"/>
    <w:link w:val="4"/>
    <w:qFormat/>
    <w:uiPriority w:val="0"/>
    <w:rPr>
      <w:rFonts w:ascii="Arial" w:hAnsi="Arial" w:eastAsia="宋体"/>
      <w:b/>
      <w:i/>
      <w:kern w:val="2"/>
      <w:sz w:val="22"/>
      <w:lang w:val="en-GB" w:eastAsia="en-US" w:bidi="ar-SA"/>
    </w:rPr>
  </w:style>
  <w:style w:type="character" w:customStyle="1" w:styleId="47">
    <w:name w:val="页脚 字符"/>
    <w:link w:val="22"/>
    <w:qFormat/>
    <w:uiPriority w:val="0"/>
    <w:rPr>
      <w:rFonts w:eastAsia="宋体"/>
      <w:kern w:val="2"/>
      <w:sz w:val="18"/>
      <w:szCs w:val="18"/>
      <w:lang w:val="en-US" w:eastAsia="zh-CN" w:bidi="ar-SA"/>
    </w:rPr>
  </w:style>
  <w:style w:type="character" w:customStyle="1" w:styleId="48">
    <w:name w:val="标题 6 字符"/>
    <w:link w:val="8"/>
    <w:qFormat/>
    <w:uiPriority w:val="0"/>
    <w:rPr>
      <w:rFonts w:ascii="Arial" w:hAnsi="Arial" w:eastAsia="宋体"/>
      <w:b/>
      <w:i/>
      <w:kern w:val="2"/>
      <w:sz w:val="22"/>
      <w:lang w:val="en-GB" w:eastAsia="en-US" w:bidi="ar-SA"/>
    </w:rPr>
  </w:style>
  <w:style w:type="character" w:customStyle="1" w:styleId="49">
    <w:name w:val="Section Char"/>
    <w:qFormat/>
    <w:uiPriority w:val="0"/>
    <w:rPr>
      <w:rFonts w:ascii="Arial" w:hAnsi="Arial" w:eastAsia="宋体"/>
      <w:b/>
      <w:sz w:val="22"/>
      <w:lang w:val="en-GB" w:eastAsia="en-US" w:bidi="ar-SA"/>
    </w:rPr>
  </w:style>
  <w:style w:type="character" w:customStyle="1" w:styleId="50">
    <w:name w:val="Paragraph Char"/>
    <w:link w:val="5"/>
    <w:qFormat/>
    <w:uiPriority w:val="0"/>
    <w:rPr>
      <w:rFonts w:ascii="Arial" w:hAnsi="Arial" w:eastAsia="宋体"/>
      <w:sz w:val="22"/>
      <w:lang w:val="en-GB" w:eastAsia="en-US" w:bidi="ar-SA"/>
    </w:rPr>
  </w:style>
  <w:style w:type="character" w:customStyle="1" w:styleId="51">
    <w:name w:val="Paragraph Char Char Char Char Char1"/>
    <w:link w:val="52"/>
    <w:qFormat/>
    <w:uiPriority w:val="0"/>
    <w:rPr>
      <w:rFonts w:ascii="Arial" w:hAnsi="Arial" w:eastAsia="宋体"/>
      <w:sz w:val="22"/>
      <w:lang w:val="en-GB" w:eastAsia="en-US" w:bidi="ar-SA"/>
    </w:rPr>
  </w:style>
  <w:style w:type="paragraph" w:customStyle="1" w:styleId="52">
    <w:name w:val="Paragraph Char Char Char Char"/>
    <w:basedOn w:val="1"/>
    <w:link w:val="51"/>
    <w:qFormat/>
    <w:uiPriority w:val="0"/>
    <w:pPr>
      <w:widowControl/>
      <w:spacing w:after="240"/>
    </w:pPr>
    <w:rPr>
      <w:rFonts w:ascii="Arial" w:hAnsi="Arial"/>
      <w:kern w:val="0"/>
      <w:sz w:val="22"/>
      <w:szCs w:val="20"/>
      <w:lang w:val="en-GB" w:eastAsia="en-US"/>
    </w:rPr>
  </w:style>
  <w:style w:type="character" w:customStyle="1" w:styleId="53">
    <w:name w:val="标题 8 字符"/>
    <w:link w:val="10"/>
    <w:qFormat/>
    <w:uiPriority w:val="0"/>
    <w:rPr>
      <w:rFonts w:ascii="Arial" w:hAnsi="Arial" w:eastAsia="宋体"/>
      <w:b/>
      <w:i/>
      <w:kern w:val="2"/>
      <w:sz w:val="22"/>
      <w:lang w:val="en-GB" w:eastAsia="en-US" w:bidi="ar-SA"/>
    </w:rPr>
  </w:style>
  <w:style w:type="character" w:customStyle="1" w:styleId="54">
    <w:name w:val="脚注文本 字符"/>
    <w:link w:val="24"/>
    <w:qFormat/>
    <w:uiPriority w:val="0"/>
    <w:rPr>
      <w:rFonts w:eastAsia="宋体"/>
      <w:kern w:val="2"/>
      <w:sz w:val="18"/>
      <w:szCs w:val="18"/>
      <w:lang w:val="en-US" w:eastAsia="zh-CN" w:bidi="ar-SA"/>
    </w:rPr>
  </w:style>
  <w:style w:type="character" w:customStyle="1" w:styleId="55">
    <w:name w:val="long_text1"/>
    <w:qFormat/>
    <w:uiPriority w:val="0"/>
    <w:rPr>
      <w:sz w:val="20"/>
      <w:szCs w:val="20"/>
    </w:rPr>
  </w:style>
  <w:style w:type="character" w:customStyle="1" w:styleId="56">
    <w:name w:val="标题 5 字符"/>
    <w:link w:val="7"/>
    <w:qFormat/>
    <w:uiPriority w:val="0"/>
    <w:rPr>
      <w:rFonts w:ascii="Arial" w:hAnsi="Arial" w:eastAsia="宋体"/>
      <w:b/>
      <w:i/>
      <w:kern w:val="2"/>
      <w:sz w:val="22"/>
      <w:lang w:val="en-GB" w:eastAsia="en-US" w:bidi="ar-SA"/>
    </w:rPr>
  </w:style>
  <w:style w:type="character" w:customStyle="1" w:styleId="57">
    <w:name w:val="纯文本 字符"/>
    <w:link w:val="17"/>
    <w:qFormat/>
    <w:uiPriority w:val="0"/>
    <w:rPr>
      <w:rFonts w:ascii="Consolas" w:hAnsi="Consolas" w:eastAsia="宋体"/>
      <w:sz w:val="21"/>
      <w:szCs w:val="21"/>
      <w:lang w:val="en-US" w:eastAsia="en-US" w:bidi="ar-SA"/>
    </w:rPr>
  </w:style>
  <w:style w:type="character" w:customStyle="1" w:styleId="58">
    <w:name w:val="标题 7 字符"/>
    <w:link w:val="9"/>
    <w:qFormat/>
    <w:uiPriority w:val="0"/>
    <w:rPr>
      <w:rFonts w:ascii="Arial" w:hAnsi="Arial" w:eastAsia="宋体"/>
      <w:b/>
      <w:i/>
      <w:kern w:val="2"/>
      <w:sz w:val="22"/>
      <w:lang w:val="en-GB" w:eastAsia="en-US" w:bidi="ar-SA"/>
    </w:rPr>
  </w:style>
  <w:style w:type="character" w:customStyle="1" w:styleId="59">
    <w:name w:val="正文文本 字符"/>
    <w:link w:val="15"/>
    <w:qFormat/>
    <w:uiPriority w:val="0"/>
    <w:rPr>
      <w:rFonts w:ascii="仿宋_GB2312" w:hAnsi="宋体" w:eastAsia="仿宋_GB2312"/>
      <w:kern w:val="2"/>
      <w:sz w:val="30"/>
      <w:lang w:val="en-US" w:eastAsia="zh-CN" w:bidi="ar-SA"/>
    </w:rPr>
  </w:style>
  <w:style w:type="character" w:customStyle="1" w:styleId="60">
    <w:name w:val="页眉 字符"/>
    <w:link w:val="23"/>
    <w:qFormat/>
    <w:uiPriority w:val="0"/>
    <w:rPr>
      <w:rFonts w:eastAsia="黑体"/>
      <w:b/>
      <w:kern w:val="2"/>
      <w:sz w:val="30"/>
      <w:lang w:val="en-US" w:eastAsia="zh-CN" w:bidi="ar-SA"/>
    </w:rPr>
  </w:style>
  <w:style w:type="character" w:customStyle="1" w:styleId="61">
    <w:name w:val="标题 9 字符"/>
    <w:link w:val="11"/>
    <w:qFormat/>
    <w:uiPriority w:val="0"/>
    <w:rPr>
      <w:rFonts w:ascii="Arial" w:hAnsi="Arial" w:eastAsia="宋体"/>
      <w:b/>
      <w:i/>
      <w:kern w:val="2"/>
      <w:sz w:val="22"/>
      <w:lang w:val="en-GB" w:eastAsia="en-US" w:bidi="ar-SA"/>
    </w:rPr>
  </w:style>
  <w:style w:type="character" w:customStyle="1" w:styleId="62">
    <w:name w:val="short_text1"/>
    <w:qFormat/>
    <w:uiPriority w:val="0"/>
    <w:rPr>
      <w:sz w:val="29"/>
      <w:szCs w:val="29"/>
    </w:rPr>
  </w:style>
  <w:style w:type="character" w:customStyle="1" w:styleId="63">
    <w:name w:val="标题 字符"/>
    <w:link w:val="27"/>
    <w:qFormat/>
    <w:uiPriority w:val="0"/>
    <w:rPr>
      <w:rFonts w:ascii="Arial" w:hAnsi="Arial" w:eastAsia="宋体"/>
      <w:b/>
      <w:sz w:val="28"/>
      <w:lang w:val="de-DE" w:eastAsia="en-GB" w:bidi="ar-SA"/>
    </w:rPr>
  </w:style>
  <w:style w:type="character" w:customStyle="1" w:styleId="64">
    <w:name w:val="Fußnote Char Char"/>
    <w:qFormat/>
    <w:uiPriority w:val="0"/>
    <w:rPr>
      <w:rFonts w:ascii="Arial" w:hAnsi="Arial" w:eastAsia="宋体"/>
      <w:sz w:val="18"/>
      <w:lang w:val="en-GB" w:eastAsia="en-US" w:bidi="ar-SA"/>
    </w:rPr>
  </w:style>
  <w:style w:type="paragraph" w:customStyle="1" w:styleId="65">
    <w:name w:val="TableSubtitle"/>
    <w:basedOn w:val="5"/>
    <w:qFormat/>
    <w:uiPriority w:val="0"/>
    <w:pPr>
      <w:jc w:val="center"/>
    </w:pPr>
    <w:rPr>
      <w:sz w:val="20"/>
    </w:rPr>
  </w:style>
  <w:style w:type="paragraph" w:customStyle="1" w:styleId="66">
    <w:name w:val="FootertextOdd"/>
    <w:basedOn w:val="1"/>
    <w:qFormat/>
    <w:uiPriority w:val="0"/>
    <w:pPr>
      <w:widowControl/>
      <w:jc w:val="left"/>
    </w:pPr>
    <w:rPr>
      <w:rFonts w:ascii="Arial" w:hAnsi="Arial"/>
      <w:kern w:val="0"/>
      <w:sz w:val="16"/>
      <w:szCs w:val="20"/>
      <w:lang w:val="en-GB" w:eastAsia="en-US"/>
    </w:rPr>
  </w:style>
  <w:style w:type="paragraph" w:customStyle="1" w:styleId="67">
    <w:name w:val="NTHeading 4"/>
    <w:basedOn w:val="6"/>
    <w:next w:val="5"/>
    <w:qFormat/>
    <w:uiPriority w:val="0"/>
  </w:style>
  <w:style w:type="paragraph" w:customStyle="1" w:styleId="68">
    <w:name w:val="NTIndented Heading 1"/>
    <w:basedOn w:val="69"/>
    <w:next w:val="5"/>
    <w:qFormat/>
    <w:uiPriority w:val="0"/>
  </w:style>
  <w:style w:type="paragraph" w:customStyle="1" w:styleId="69">
    <w:name w:val="Indented Heading 1"/>
    <w:basedOn w:val="2"/>
    <w:next w:val="5"/>
    <w:qFormat/>
    <w:uiPriority w:val="0"/>
    <w:pPr>
      <w:widowControl/>
      <w:spacing w:before="600" w:after="240"/>
      <w:ind w:left="851" w:hanging="851"/>
      <w:jc w:val="left"/>
    </w:pPr>
    <w:rPr>
      <w:rFonts w:ascii="Arial" w:hAnsi="Arial" w:eastAsia="宋体"/>
      <w:kern w:val="0"/>
      <w:sz w:val="26"/>
      <w:lang w:val="en-GB" w:eastAsia="en-US"/>
    </w:rPr>
  </w:style>
  <w:style w:type="paragraph" w:customStyle="1" w:styleId="70">
    <w:name w:val="NTIndented Heading 3"/>
    <w:basedOn w:val="71"/>
    <w:next w:val="5"/>
    <w:qFormat/>
    <w:uiPriority w:val="0"/>
  </w:style>
  <w:style w:type="paragraph" w:customStyle="1" w:styleId="71">
    <w:name w:val="Indented Heading 3"/>
    <w:basedOn w:val="4"/>
    <w:next w:val="5"/>
    <w:qFormat/>
    <w:uiPriority w:val="0"/>
    <w:pPr>
      <w:ind w:left="851" w:hanging="851"/>
    </w:pPr>
  </w:style>
  <w:style w:type="paragraph" w:customStyle="1" w:styleId="72">
    <w:name w:val="Footnote"/>
    <w:basedOn w:val="24"/>
    <w:qFormat/>
    <w:uiPriority w:val="0"/>
    <w:pPr>
      <w:widowControl/>
      <w:snapToGrid/>
      <w:spacing w:after="120"/>
      <w:ind w:left="284" w:hanging="284"/>
      <w:jc w:val="both"/>
    </w:pPr>
    <w:rPr>
      <w:rFonts w:ascii="Arial" w:hAnsi="Arial"/>
      <w:kern w:val="0"/>
      <w:szCs w:val="20"/>
      <w:lang w:val="en-GB" w:eastAsia="en-US"/>
    </w:rPr>
  </w:style>
  <w:style w:type="paragraph" w:customStyle="1" w:styleId="73">
    <w:name w:val="AnnexIndentedHeading 3"/>
    <w:basedOn w:val="71"/>
    <w:next w:val="6"/>
    <w:qFormat/>
    <w:uiPriority w:val="0"/>
  </w:style>
  <w:style w:type="paragraph" w:customStyle="1" w:styleId="74">
    <w:name w:val="NTHeading 1"/>
    <w:basedOn w:val="2"/>
    <w:next w:val="5"/>
    <w:qFormat/>
    <w:uiPriority w:val="0"/>
    <w:pPr>
      <w:widowControl/>
      <w:spacing w:before="600" w:after="240"/>
      <w:jc w:val="left"/>
    </w:pPr>
    <w:rPr>
      <w:rFonts w:ascii="Arial" w:hAnsi="Arial" w:eastAsia="宋体"/>
      <w:kern w:val="0"/>
      <w:sz w:val="26"/>
      <w:lang w:val="en-GB" w:eastAsia="en-US"/>
    </w:rPr>
  </w:style>
  <w:style w:type="paragraph" w:customStyle="1" w:styleId="75">
    <w:name w:val="目录 31"/>
    <w:basedOn w:val="1"/>
    <w:next w:val="1"/>
    <w:qFormat/>
    <w:uiPriority w:val="0"/>
    <w:pPr>
      <w:ind w:left="420"/>
      <w:jc w:val="left"/>
    </w:pPr>
    <w:rPr>
      <w:i/>
      <w:iCs/>
      <w:sz w:val="20"/>
      <w:szCs w:val="20"/>
    </w:rPr>
  </w:style>
  <w:style w:type="paragraph" w:customStyle="1" w:styleId="76">
    <w:name w:val="FootnoteSeparator"/>
    <w:basedOn w:val="1"/>
    <w:qFormat/>
    <w:uiPriority w:val="0"/>
    <w:pPr>
      <w:widowControl/>
      <w:spacing w:before="240" w:after="120"/>
      <w:jc w:val="left"/>
    </w:pPr>
    <w:rPr>
      <w:rFonts w:ascii="Arial" w:hAnsi="Arial"/>
      <w:kern w:val="0"/>
      <w:sz w:val="22"/>
      <w:szCs w:val="20"/>
      <w:lang w:val="en-GB" w:eastAsia="en-US"/>
    </w:rPr>
  </w:style>
  <w:style w:type="paragraph" w:customStyle="1" w:styleId="77">
    <w:name w:val="PubliTitle"/>
    <w:basedOn w:val="5"/>
    <w:next w:val="5"/>
    <w:qFormat/>
    <w:uiPriority w:val="0"/>
    <w:pPr>
      <w:keepNext/>
      <w:spacing w:after="600"/>
      <w:jc w:val="center"/>
    </w:pPr>
    <w:rPr>
      <w:b/>
      <w:sz w:val="30"/>
    </w:rPr>
  </w:style>
  <w:style w:type="paragraph" w:customStyle="1" w:styleId="78">
    <w:name w:val="empty"/>
    <w:basedOn w:val="1"/>
    <w:qFormat/>
    <w:uiPriority w:val="0"/>
    <w:pPr>
      <w:widowControl/>
      <w:jc w:val="left"/>
    </w:pPr>
    <w:rPr>
      <w:rFonts w:ascii="Arial" w:hAnsi="Arial"/>
      <w:color w:val="FFFFFF"/>
      <w:kern w:val="0"/>
      <w:sz w:val="22"/>
      <w:szCs w:val="20"/>
      <w:lang w:val="en-GB" w:eastAsia="en-US"/>
    </w:rPr>
  </w:style>
  <w:style w:type="paragraph" w:customStyle="1" w:styleId="79">
    <w:name w:val="_Style 10"/>
    <w:basedOn w:val="13"/>
    <w:qFormat/>
    <w:uiPriority w:val="0"/>
    <w:pPr>
      <w:jc w:val="left"/>
    </w:pPr>
    <w:rPr>
      <w:rFonts w:ascii="Tahoma" w:hAnsi="Tahoma"/>
      <w:sz w:val="24"/>
      <w:szCs w:val="28"/>
    </w:rPr>
  </w:style>
  <w:style w:type="paragraph" w:customStyle="1" w:styleId="80">
    <w:name w:val="AnnexIndentedHeading 4"/>
    <w:basedOn w:val="81"/>
    <w:next w:val="6"/>
    <w:qFormat/>
    <w:uiPriority w:val="0"/>
  </w:style>
  <w:style w:type="paragraph" w:customStyle="1" w:styleId="81">
    <w:name w:val="Indented Heading 4"/>
    <w:basedOn w:val="6"/>
    <w:next w:val="5"/>
    <w:qFormat/>
    <w:uiPriority w:val="0"/>
    <w:pPr>
      <w:ind w:left="851" w:hanging="851"/>
    </w:pPr>
  </w:style>
  <w:style w:type="paragraph" w:customStyle="1" w:styleId="82">
    <w:name w:val="目录 71"/>
    <w:basedOn w:val="1"/>
    <w:next w:val="1"/>
    <w:qFormat/>
    <w:uiPriority w:val="0"/>
    <w:pPr>
      <w:ind w:left="1260"/>
      <w:jc w:val="left"/>
    </w:pPr>
    <w:rPr>
      <w:sz w:val="18"/>
      <w:szCs w:val="18"/>
    </w:rPr>
  </w:style>
  <w:style w:type="paragraph" w:customStyle="1" w:styleId="83">
    <w:name w:val="列出段落1"/>
    <w:basedOn w:val="1"/>
    <w:qFormat/>
    <w:uiPriority w:val="0"/>
    <w:pPr>
      <w:widowControl/>
      <w:spacing w:after="200" w:line="276" w:lineRule="auto"/>
      <w:ind w:left="720"/>
      <w:jc w:val="left"/>
    </w:pPr>
    <w:rPr>
      <w:rFonts w:eastAsia="Calibri" w:cs="Calibri"/>
      <w:kern w:val="0"/>
      <w:sz w:val="22"/>
      <w:szCs w:val="22"/>
      <w:lang w:val="en-CA" w:eastAsia="en-US"/>
    </w:rPr>
  </w:style>
  <w:style w:type="paragraph" w:customStyle="1" w:styleId="84">
    <w:name w:val="AnnexHeading 4"/>
    <w:basedOn w:val="4"/>
    <w:qFormat/>
    <w:uiPriority w:val="0"/>
    <w:pPr>
      <w:spacing w:before="0"/>
      <w:outlineLvl w:val="3"/>
    </w:pPr>
    <w:rPr>
      <w:b w:val="0"/>
    </w:rPr>
  </w:style>
  <w:style w:type="paragraph" w:customStyle="1" w:styleId="85">
    <w:name w:val="目录 41"/>
    <w:basedOn w:val="1"/>
    <w:next w:val="1"/>
    <w:qFormat/>
    <w:uiPriority w:val="0"/>
    <w:pPr>
      <w:ind w:left="630"/>
      <w:jc w:val="left"/>
    </w:pPr>
    <w:rPr>
      <w:sz w:val="18"/>
      <w:szCs w:val="18"/>
    </w:rPr>
  </w:style>
  <w:style w:type="paragraph" w:customStyle="1" w:styleId="86">
    <w:name w:val="Indented Heading 2"/>
    <w:basedOn w:val="3"/>
    <w:next w:val="5"/>
    <w:qFormat/>
    <w:uiPriority w:val="0"/>
    <w:pPr>
      <w:keepLines w:val="0"/>
      <w:widowControl/>
      <w:spacing w:before="360" w:after="120" w:line="240" w:lineRule="auto"/>
      <w:ind w:left="851" w:hanging="851"/>
      <w:jc w:val="left"/>
    </w:pPr>
    <w:rPr>
      <w:rFonts w:eastAsia="宋体"/>
      <w:bCs w:val="0"/>
      <w:sz w:val="22"/>
      <w:szCs w:val="20"/>
      <w:lang w:val="en-GB" w:eastAsia="en-US"/>
    </w:rPr>
  </w:style>
  <w:style w:type="paragraph" w:customStyle="1" w:styleId="87">
    <w:name w:val="AnnexPubliSubtitle"/>
    <w:basedOn w:val="1"/>
    <w:next w:val="6"/>
    <w:qFormat/>
    <w:uiPriority w:val="0"/>
    <w:pPr>
      <w:keepNext/>
      <w:widowControl/>
      <w:spacing w:after="600"/>
      <w:jc w:val="center"/>
    </w:pPr>
    <w:rPr>
      <w:rFonts w:ascii="Arial" w:hAnsi="Arial"/>
      <w:b/>
      <w:kern w:val="0"/>
      <w:sz w:val="26"/>
      <w:szCs w:val="20"/>
      <w:lang w:val="en-GB" w:eastAsia="en-US"/>
    </w:rPr>
  </w:style>
  <w:style w:type="paragraph" w:customStyle="1" w:styleId="88">
    <w:name w:val="char"/>
    <w:basedOn w:val="1"/>
    <w:qFormat/>
    <w:uiPriority w:val="0"/>
    <w:pPr>
      <w:widowControl/>
      <w:spacing w:after="160"/>
      <w:jc w:val="left"/>
    </w:pPr>
    <w:rPr>
      <w:rFonts w:ascii="宋体" w:hAnsi="宋体" w:cs="”“Times New Roman”“"/>
      <w:kern w:val="0"/>
      <w:szCs w:val="21"/>
      <w:lang w:eastAsia="en-US"/>
    </w:rPr>
  </w:style>
  <w:style w:type="paragraph" w:customStyle="1" w:styleId="89">
    <w:name w:val="Default"/>
    <w:qFormat/>
    <w:uiPriority w:val="0"/>
    <w:pPr>
      <w:widowControl w:val="0"/>
      <w:autoSpaceDE w:val="0"/>
      <w:autoSpaceDN w:val="0"/>
      <w:adjustRightInd w:val="0"/>
    </w:pPr>
    <w:rPr>
      <w:rFonts w:ascii="华文中宋" w:hAnsi="Calibri" w:eastAsia="华文中宋" w:cs="华文中宋"/>
      <w:color w:val="000000"/>
      <w:sz w:val="24"/>
      <w:szCs w:val="24"/>
      <w:lang w:val="en-US" w:eastAsia="zh-CN" w:bidi="ar-SA"/>
    </w:rPr>
  </w:style>
  <w:style w:type="paragraph" w:customStyle="1" w:styleId="90">
    <w:name w:val="TableColumnHeading"/>
    <w:basedOn w:val="89"/>
    <w:next w:val="89"/>
    <w:qFormat/>
    <w:uiPriority w:val="0"/>
    <w:rPr>
      <w:rFonts w:ascii="Arial" w:hAnsi="Arial" w:eastAsia="宋体" w:cs="Arial"/>
      <w:color w:val="auto"/>
    </w:rPr>
  </w:style>
  <w:style w:type="paragraph" w:customStyle="1" w:styleId="91">
    <w:name w:val="AnnexHeading 3"/>
    <w:basedOn w:val="4"/>
    <w:next w:val="6"/>
    <w:qFormat/>
    <w:uiPriority w:val="0"/>
    <w:pPr>
      <w:tabs>
        <w:tab w:val="left" w:pos="360"/>
      </w:tabs>
      <w:ind w:left="360" w:hanging="360"/>
    </w:pPr>
  </w:style>
  <w:style w:type="paragraph" w:customStyle="1" w:styleId="92">
    <w:name w:val="目录 61"/>
    <w:basedOn w:val="1"/>
    <w:next w:val="1"/>
    <w:qFormat/>
    <w:uiPriority w:val="0"/>
    <w:pPr>
      <w:ind w:left="1050"/>
      <w:jc w:val="left"/>
    </w:pPr>
    <w:rPr>
      <w:sz w:val="18"/>
      <w:szCs w:val="18"/>
    </w:rPr>
  </w:style>
  <w:style w:type="paragraph" w:customStyle="1" w:styleId="93">
    <w:name w:val="普通(网站)1"/>
    <w:basedOn w:val="1"/>
    <w:qFormat/>
    <w:uiPriority w:val="0"/>
    <w:pPr>
      <w:widowControl/>
      <w:spacing w:line="440" w:lineRule="exact"/>
      <w:ind w:firstLine="480" w:firstLineChars="200"/>
      <w:jc w:val="left"/>
    </w:pPr>
    <w:rPr>
      <w:rFonts w:hint="eastAsia" w:eastAsia="仿宋_GB2312"/>
      <w:color w:val="000000"/>
      <w:sz w:val="24"/>
      <w:szCs w:val="20"/>
    </w:rPr>
  </w:style>
  <w:style w:type="paragraph" w:customStyle="1" w:styleId="94">
    <w:name w:val="Char"/>
    <w:basedOn w:val="1"/>
    <w:qFormat/>
    <w:uiPriority w:val="0"/>
    <w:pPr>
      <w:widowControl/>
      <w:spacing w:after="160" w:line="240" w:lineRule="exact"/>
      <w:jc w:val="left"/>
    </w:pPr>
  </w:style>
  <w:style w:type="paragraph" w:customStyle="1" w:styleId="95">
    <w:name w:val="AnnexIndentedHeading 2"/>
    <w:basedOn w:val="86"/>
    <w:next w:val="6"/>
    <w:qFormat/>
    <w:uiPriority w:val="0"/>
  </w:style>
  <w:style w:type="paragraph" w:customStyle="1" w:styleId="96">
    <w:name w:val="PubliSubtitle"/>
    <w:basedOn w:val="5"/>
    <w:next w:val="5"/>
    <w:qFormat/>
    <w:uiPriority w:val="0"/>
    <w:pPr>
      <w:keepNext/>
      <w:spacing w:after="600"/>
      <w:jc w:val="center"/>
    </w:pPr>
    <w:rPr>
      <w:b/>
      <w:sz w:val="26"/>
    </w:rPr>
  </w:style>
  <w:style w:type="paragraph" w:customStyle="1" w:styleId="97">
    <w:name w:val="AnnexHeading 1"/>
    <w:basedOn w:val="2"/>
    <w:next w:val="6"/>
    <w:qFormat/>
    <w:uiPriority w:val="0"/>
    <w:pPr>
      <w:widowControl/>
      <w:spacing w:before="600" w:after="240"/>
      <w:jc w:val="left"/>
    </w:pPr>
    <w:rPr>
      <w:rFonts w:ascii="Arial" w:hAnsi="Arial" w:eastAsia="宋体"/>
      <w:kern w:val="0"/>
      <w:sz w:val="26"/>
      <w:lang w:val="en-GB" w:eastAsia="en-US"/>
    </w:rPr>
  </w:style>
  <w:style w:type="paragraph" w:customStyle="1" w:styleId="98">
    <w:name w:val="NTIndented Heading 2"/>
    <w:basedOn w:val="86"/>
    <w:next w:val="5"/>
    <w:qFormat/>
    <w:uiPriority w:val="0"/>
  </w:style>
  <w:style w:type="paragraph" w:customStyle="1" w:styleId="99">
    <w:name w:val="AnnexHeading 2"/>
    <w:basedOn w:val="3"/>
    <w:next w:val="6"/>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100">
    <w:name w:val="BoxText"/>
    <w:basedOn w:val="5"/>
    <w:qFormat/>
    <w:uiPriority w:val="0"/>
    <w:rPr>
      <w:sz w:val="20"/>
    </w:rPr>
  </w:style>
  <w:style w:type="paragraph" w:customStyle="1" w:styleId="101">
    <w:name w:val="Char Char Char Char"/>
    <w:basedOn w:val="1"/>
    <w:qFormat/>
    <w:uiPriority w:val="0"/>
    <w:rPr>
      <w:szCs w:val="20"/>
    </w:rPr>
  </w:style>
  <w:style w:type="paragraph" w:customStyle="1" w:styleId="102">
    <w:name w:val="TableText"/>
    <w:basedOn w:val="5"/>
    <w:qFormat/>
    <w:uiPriority w:val="0"/>
    <w:pPr>
      <w:keepNext/>
      <w:spacing w:before="60" w:after="60"/>
      <w:jc w:val="left"/>
    </w:pPr>
    <w:rPr>
      <w:sz w:val="20"/>
    </w:rPr>
  </w:style>
  <w:style w:type="paragraph" w:customStyle="1" w:styleId="103">
    <w:name w:val="NTHeading 3"/>
    <w:basedOn w:val="4"/>
    <w:next w:val="5"/>
    <w:qFormat/>
    <w:uiPriority w:val="0"/>
  </w:style>
  <w:style w:type="paragraph" w:customStyle="1" w:styleId="104">
    <w:name w:val="Footerempty"/>
    <w:basedOn w:val="22"/>
    <w:qFormat/>
    <w:uiPriority w:val="0"/>
    <w:pPr>
      <w:widowControl/>
      <w:tabs>
        <w:tab w:val="center" w:pos="4536"/>
        <w:tab w:val="right" w:pos="9072"/>
        <w:tab w:val="clear" w:pos="4153"/>
        <w:tab w:val="clear" w:pos="8306"/>
      </w:tabs>
      <w:snapToGrid/>
    </w:pPr>
    <w:rPr>
      <w:rFonts w:ascii="Arial" w:hAnsi="Arial"/>
      <w:color w:val="FFFFFF"/>
      <w:kern w:val="0"/>
      <w:sz w:val="2"/>
      <w:szCs w:val="20"/>
      <w:lang w:val="en-GB" w:eastAsia="en-US"/>
    </w:rPr>
  </w:style>
  <w:style w:type="paragraph" w:customStyle="1" w:styleId="105">
    <w:name w:val="目录 91"/>
    <w:basedOn w:val="1"/>
    <w:next w:val="1"/>
    <w:qFormat/>
    <w:uiPriority w:val="0"/>
    <w:pPr>
      <w:ind w:left="1680"/>
      <w:jc w:val="left"/>
    </w:pPr>
    <w:rPr>
      <w:sz w:val="18"/>
      <w:szCs w:val="18"/>
    </w:rPr>
  </w:style>
  <w:style w:type="paragraph" w:customStyle="1" w:styleId="106">
    <w:name w:val="目录 81"/>
    <w:basedOn w:val="1"/>
    <w:next w:val="1"/>
    <w:qFormat/>
    <w:uiPriority w:val="0"/>
    <w:pPr>
      <w:ind w:left="1470"/>
      <w:jc w:val="left"/>
    </w:pPr>
    <w:rPr>
      <w:sz w:val="18"/>
      <w:szCs w:val="18"/>
    </w:rPr>
  </w:style>
  <w:style w:type="paragraph" w:customStyle="1" w:styleId="107">
    <w:name w:val="TableNote"/>
    <w:basedOn w:val="5"/>
    <w:qFormat/>
    <w:uiPriority w:val="0"/>
    <w:pPr>
      <w:spacing w:before="120"/>
    </w:pPr>
    <w:rPr>
      <w:sz w:val="18"/>
    </w:rPr>
  </w:style>
  <w:style w:type="paragraph" w:customStyle="1" w:styleId="108">
    <w:name w:val="Emptyfooter"/>
    <w:basedOn w:val="78"/>
    <w:qFormat/>
    <w:uiPriority w:val="0"/>
    <w:rPr>
      <w:sz w:val="2"/>
    </w:rPr>
  </w:style>
  <w:style w:type="paragraph" w:customStyle="1" w:styleId="109">
    <w:name w:val="CoverTitle"/>
    <w:basedOn w:val="1"/>
    <w:next w:val="110"/>
    <w:qFormat/>
    <w:uiPriority w:val="0"/>
    <w:pPr>
      <w:widowControl/>
      <w:spacing w:before="120" w:after="120" w:line="480" w:lineRule="exact"/>
      <w:ind w:right="113"/>
      <w:jc w:val="left"/>
    </w:pPr>
    <w:rPr>
      <w:rFonts w:ascii="Arial Narrow" w:hAnsi="Arial Narrow"/>
      <w:b/>
      <w:kern w:val="0"/>
      <w:sz w:val="48"/>
      <w:szCs w:val="20"/>
      <w:lang w:val="en-GB" w:eastAsia="en-US"/>
    </w:rPr>
  </w:style>
  <w:style w:type="paragraph" w:customStyle="1" w:styleId="110">
    <w:name w:val="CoverDate"/>
    <w:basedOn w:val="1"/>
    <w:qFormat/>
    <w:uiPriority w:val="0"/>
    <w:pPr>
      <w:widowControl/>
      <w:spacing w:after="240"/>
      <w:ind w:right="113"/>
    </w:pPr>
    <w:rPr>
      <w:rFonts w:ascii="Arial Narrow" w:hAnsi="Arial Narrow"/>
      <w:kern w:val="0"/>
      <w:sz w:val="20"/>
      <w:szCs w:val="20"/>
      <w:lang w:val="en-GB" w:eastAsia="en-US"/>
    </w:rPr>
  </w:style>
  <w:style w:type="paragraph" w:customStyle="1" w:styleId="111">
    <w:name w:val="CoverCommitteeName"/>
    <w:basedOn w:val="1"/>
    <w:qFormat/>
    <w:uiPriority w:val="0"/>
    <w:pPr>
      <w:widowControl/>
      <w:spacing w:after="120" w:line="480" w:lineRule="exact"/>
    </w:pPr>
    <w:rPr>
      <w:rFonts w:ascii="Arial Narrow" w:hAnsi="Arial Narrow"/>
      <w:kern w:val="0"/>
      <w:sz w:val="48"/>
      <w:szCs w:val="20"/>
      <w:lang w:val="en-GB" w:eastAsia="en-US"/>
    </w:rPr>
  </w:style>
  <w:style w:type="paragraph" w:customStyle="1" w:styleId="112">
    <w:name w:val="TableTitle"/>
    <w:basedOn w:val="5"/>
    <w:qFormat/>
    <w:uiPriority w:val="0"/>
    <w:pPr>
      <w:keepNext/>
      <w:spacing w:before="120"/>
      <w:jc w:val="center"/>
    </w:pPr>
    <w:rPr>
      <w:b/>
    </w:rPr>
  </w:style>
  <w:style w:type="paragraph" w:customStyle="1" w:styleId="113">
    <w:name w:val="AnnexPubliTitle"/>
    <w:basedOn w:val="1"/>
    <w:next w:val="1"/>
    <w:qFormat/>
    <w:uiPriority w:val="0"/>
    <w:pPr>
      <w:keepNext/>
      <w:widowControl/>
      <w:spacing w:after="600"/>
      <w:jc w:val="center"/>
    </w:pPr>
    <w:rPr>
      <w:rFonts w:ascii="Arial" w:hAnsi="Arial"/>
      <w:b/>
      <w:kern w:val="0"/>
      <w:sz w:val="30"/>
      <w:szCs w:val="20"/>
      <w:lang w:val="en-GB" w:eastAsia="en-US"/>
    </w:rPr>
  </w:style>
  <w:style w:type="paragraph" w:customStyle="1" w:styleId="114">
    <w:name w:val="Char1"/>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115">
    <w:name w:val="BoxTitle"/>
    <w:basedOn w:val="5"/>
    <w:qFormat/>
    <w:uiPriority w:val="0"/>
    <w:pPr>
      <w:spacing w:before="120"/>
      <w:jc w:val="center"/>
    </w:pPr>
    <w:rPr>
      <w:b/>
      <w:bCs/>
      <w:sz w:val="20"/>
    </w:rPr>
  </w:style>
  <w:style w:type="paragraph" w:customStyle="1" w:styleId="116">
    <w:name w:val="Page Numbereven"/>
    <w:basedOn w:val="117"/>
    <w:qFormat/>
    <w:uiPriority w:val="0"/>
    <w:pPr>
      <w:jc w:val="left"/>
    </w:pPr>
  </w:style>
  <w:style w:type="paragraph" w:customStyle="1" w:styleId="117">
    <w:name w:val="FooterPageNumber"/>
    <w:basedOn w:val="66"/>
    <w:qFormat/>
    <w:uiPriority w:val="0"/>
    <w:pPr>
      <w:jc w:val="right"/>
    </w:pPr>
    <w:rPr>
      <w:sz w:val="20"/>
    </w:rPr>
  </w:style>
  <w:style w:type="paragraph" w:customStyle="1" w:styleId="118">
    <w:name w:val="目录 21"/>
    <w:basedOn w:val="1"/>
    <w:next w:val="1"/>
    <w:qFormat/>
    <w:uiPriority w:val="0"/>
    <w:pPr>
      <w:ind w:left="210"/>
      <w:jc w:val="left"/>
    </w:pPr>
    <w:rPr>
      <w:smallCaps/>
      <w:sz w:val="20"/>
      <w:szCs w:val="20"/>
    </w:rPr>
  </w:style>
  <w:style w:type="paragraph" w:customStyle="1" w:styleId="119">
    <w:name w:val="Confidentiality"/>
    <w:basedOn w:val="23"/>
    <w:next w:val="23"/>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lang w:val="en-GB" w:eastAsia="en-US"/>
    </w:rPr>
  </w:style>
  <w:style w:type="paragraph" w:customStyle="1" w:styleId="120">
    <w:name w:val="Copyright"/>
    <w:basedOn w:val="5"/>
    <w:next w:val="5"/>
    <w:qFormat/>
    <w:uiPriority w:val="0"/>
    <w:pPr>
      <w:spacing w:after="120"/>
      <w:ind w:left="284" w:hanging="284"/>
      <w:jc w:val="left"/>
    </w:pPr>
    <w:rPr>
      <w:i/>
      <w:sz w:val="20"/>
    </w:rPr>
  </w:style>
  <w:style w:type="paragraph" w:customStyle="1" w:styleId="121">
    <w:name w:val="ColumnHeading"/>
    <w:basedOn w:val="1"/>
    <w:qFormat/>
    <w:uiPriority w:val="0"/>
    <w:pPr>
      <w:widowControl/>
      <w:jc w:val="center"/>
    </w:pPr>
    <w:rPr>
      <w:rFonts w:ascii="Arial" w:hAnsi="Arial"/>
      <w:b/>
      <w:kern w:val="0"/>
      <w:sz w:val="20"/>
      <w:szCs w:val="20"/>
      <w:lang w:val="en-GB" w:eastAsia="en-US"/>
    </w:rPr>
  </w:style>
  <w:style w:type="paragraph" w:customStyle="1" w:styleId="122">
    <w:name w:val="aa"/>
    <w:basedOn w:val="1"/>
    <w:qFormat/>
    <w:uiPriority w:val="0"/>
    <w:pPr>
      <w:autoSpaceDE w:val="0"/>
      <w:autoSpaceDN w:val="0"/>
      <w:adjustRightInd w:val="0"/>
      <w:spacing w:line="360" w:lineRule="auto"/>
      <w:ind w:firstLine="640" w:firstLineChars="200"/>
      <w:jc w:val="left"/>
    </w:pPr>
    <w:rPr>
      <w:rFonts w:ascii="仿宋_GB2312" w:eastAsia="仿宋_GB2312"/>
      <w:sz w:val="32"/>
      <w:szCs w:val="32"/>
    </w:rPr>
  </w:style>
  <w:style w:type="paragraph" w:customStyle="1" w:styleId="123">
    <w:name w:val="目录 11"/>
    <w:basedOn w:val="1"/>
    <w:next w:val="1"/>
    <w:semiHidden/>
    <w:qFormat/>
    <w:uiPriority w:val="0"/>
    <w:pPr>
      <w:spacing w:before="120" w:after="120"/>
      <w:jc w:val="left"/>
    </w:pPr>
    <w:rPr>
      <w:b/>
      <w:bCs/>
      <w:caps/>
      <w:sz w:val="20"/>
      <w:szCs w:val="20"/>
    </w:rPr>
  </w:style>
  <w:style w:type="paragraph" w:customStyle="1" w:styleId="124">
    <w:name w:val="目录 51"/>
    <w:basedOn w:val="1"/>
    <w:next w:val="1"/>
    <w:qFormat/>
    <w:uiPriority w:val="0"/>
    <w:pPr>
      <w:ind w:left="840"/>
      <w:jc w:val="left"/>
    </w:pPr>
    <w:rPr>
      <w:sz w:val="18"/>
      <w:szCs w:val="18"/>
    </w:rPr>
  </w:style>
  <w:style w:type="paragraph" w:customStyle="1" w:styleId="125">
    <w:name w:val="Logo"/>
    <w:basedOn w:val="1"/>
    <w:qFormat/>
    <w:uiPriority w:val="0"/>
    <w:pPr>
      <w:widowControl/>
      <w:jc w:val="left"/>
    </w:pPr>
    <w:rPr>
      <w:rFonts w:ascii="Arial" w:hAnsi="Arial"/>
      <w:kern w:val="0"/>
      <w:sz w:val="22"/>
      <w:szCs w:val="20"/>
      <w:lang w:val="en-GB" w:eastAsia="en-US"/>
    </w:rPr>
  </w:style>
  <w:style w:type="paragraph" w:customStyle="1" w:styleId="126">
    <w:name w:val="NTIndented Heading 4"/>
    <w:basedOn w:val="81"/>
    <w:next w:val="5"/>
    <w:qFormat/>
    <w:uiPriority w:val="0"/>
  </w:style>
  <w:style w:type="paragraph" w:customStyle="1" w:styleId="127">
    <w:name w:val="ConfidentialityOdd"/>
    <w:basedOn w:val="23"/>
    <w:next w:val="23"/>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sz w:val="20"/>
      <w:lang w:val="en-GB" w:eastAsia="en-US"/>
    </w:rPr>
  </w:style>
  <w:style w:type="paragraph" w:customStyle="1" w:styleId="128">
    <w:name w:val="CoverSubtitle"/>
    <w:basedOn w:val="1"/>
    <w:next w:val="109"/>
    <w:qFormat/>
    <w:uiPriority w:val="0"/>
    <w:pPr>
      <w:widowControl/>
      <w:spacing w:before="120" w:after="360"/>
      <w:jc w:val="left"/>
    </w:pPr>
    <w:rPr>
      <w:rFonts w:ascii="Arial Narrow" w:hAnsi="Arial Narrow"/>
      <w:kern w:val="0"/>
      <w:sz w:val="48"/>
      <w:szCs w:val="20"/>
      <w:lang w:val="en-GB" w:eastAsia="en-US"/>
    </w:rPr>
  </w:style>
  <w:style w:type="paragraph" w:customStyle="1" w:styleId="129">
    <w:name w:val="TableOfContentsTitle"/>
    <w:basedOn w:val="5"/>
    <w:qFormat/>
    <w:uiPriority w:val="0"/>
    <w:pPr>
      <w:spacing w:after="600"/>
      <w:jc w:val="center"/>
    </w:pPr>
    <w:rPr>
      <w:b/>
      <w:sz w:val="26"/>
    </w:rPr>
  </w:style>
  <w:style w:type="paragraph" w:customStyle="1" w:styleId="130">
    <w:name w:val="Author"/>
    <w:basedOn w:val="5"/>
    <w:qFormat/>
    <w:uiPriority w:val="0"/>
    <w:pPr>
      <w:spacing w:after="600"/>
      <w:jc w:val="center"/>
    </w:pPr>
  </w:style>
  <w:style w:type="paragraph" w:customStyle="1" w:styleId="131">
    <w:name w:val="TableRowHeading"/>
    <w:basedOn w:val="5"/>
    <w:qFormat/>
    <w:uiPriority w:val="0"/>
    <w:pPr>
      <w:spacing w:before="60" w:after="60"/>
      <w:jc w:val="left"/>
    </w:pPr>
    <w:rPr>
      <w:sz w:val="20"/>
    </w:rPr>
  </w:style>
  <w:style w:type="paragraph" w:customStyle="1" w:styleId="132">
    <w:name w:val="ConfidentialityEven"/>
    <w:basedOn w:val="127"/>
    <w:next w:val="23"/>
    <w:qFormat/>
    <w:uiPriority w:val="0"/>
    <w:pPr>
      <w:jc w:val="left"/>
    </w:pPr>
  </w:style>
  <w:style w:type="paragraph" w:customStyle="1" w:styleId="133">
    <w:name w:val="FootertextEven"/>
    <w:basedOn w:val="66"/>
    <w:qFormat/>
    <w:uiPriority w:val="0"/>
    <w:pPr>
      <w:jc w:val="right"/>
    </w:pPr>
  </w:style>
  <w:style w:type="paragraph" w:customStyle="1" w:styleId="134">
    <w:name w:val="IndentedParagraph"/>
    <w:basedOn w:val="5"/>
    <w:qFormat/>
    <w:uiPriority w:val="0"/>
    <w:pPr>
      <w:ind w:left="851" w:hanging="851"/>
    </w:pPr>
  </w:style>
  <w:style w:type="paragraph" w:customStyle="1" w:styleId="135">
    <w:name w:val="TableNumber"/>
    <w:basedOn w:val="5"/>
    <w:qFormat/>
    <w:uiPriority w:val="0"/>
    <w:pPr>
      <w:keepNext/>
      <w:spacing w:before="120" w:after="0"/>
      <w:jc w:val="center"/>
    </w:pPr>
  </w:style>
  <w:style w:type="paragraph" w:customStyle="1" w:styleId="136">
    <w:name w:val="NTHeading 2"/>
    <w:basedOn w:val="3"/>
    <w:next w:val="5"/>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137">
    <w:name w:val="BoxNumber"/>
    <w:basedOn w:val="5"/>
    <w:qFormat/>
    <w:uiPriority w:val="0"/>
    <w:pPr>
      <w:spacing w:before="120" w:after="0"/>
      <w:jc w:val="center"/>
    </w:pPr>
    <w:rPr>
      <w:sz w:val="20"/>
    </w:rPr>
  </w:style>
  <w:style w:type="paragraph" w:customStyle="1" w:styleId="138">
    <w:name w:val="AnnexIndentedHeading 1"/>
    <w:basedOn w:val="1"/>
    <w:next w:val="6"/>
    <w:qFormat/>
    <w:uiPriority w:val="0"/>
    <w:pPr>
      <w:keepNext/>
      <w:widowControl/>
      <w:spacing w:before="600" w:after="240"/>
      <w:ind w:left="851" w:hanging="851"/>
      <w:jc w:val="left"/>
      <w:outlineLvl w:val="0"/>
    </w:pPr>
    <w:rPr>
      <w:rFonts w:ascii="Arial" w:hAnsi="Arial"/>
      <w:b/>
      <w:kern w:val="0"/>
      <w:sz w:val="26"/>
      <w:szCs w:val="20"/>
      <w:lang w:val="en-GB" w:eastAsia="en-US"/>
    </w:rPr>
  </w:style>
  <w:style w:type="paragraph" w:customStyle="1" w:styleId="139">
    <w:name w:val="列出段落"/>
    <w:basedOn w:val="1"/>
    <w:qFormat/>
    <w:uiPriority w:val="0"/>
    <w:pPr>
      <w:ind w:firstLine="420" w:firstLineChars="200"/>
    </w:pPr>
    <w:rPr>
      <w:szCs w:val="22"/>
    </w:rPr>
  </w:style>
  <w:style w:type="paragraph" w:customStyle="1" w:styleId="140">
    <w:name w:val="Footertext"/>
    <w:basedOn w:val="1"/>
    <w:qFormat/>
    <w:uiPriority w:val="0"/>
    <w:pPr>
      <w:widowControl/>
      <w:jc w:val="left"/>
    </w:pPr>
    <w:rPr>
      <w:rFonts w:ascii="Arial" w:hAnsi="Arial"/>
      <w:kern w:val="0"/>
      <w:sz w:val="16"/>
      <w:szCs w:val="20"/>
      <w:lang w:val="en-GB" w:eastAsia="en-US"/>
    </w:rPr>
  </w:style>
  <w:style w:type="paragraph" w:customStyle="1" w:styleId="141">
    <w:name w:val="修订1"/>
    <w:hidden/>
    <w:unhideWhenUsed/>
    <w:qFormat/>
    <w:uiPriority w:val="99"/>
    <w:rPr>
      <w:rFonts w:ascii="Calibri" w:hAnsi="Calibri" w:eastAsia="宋体" w:cs="Times New Roman"/>
      <w:kern w:val="2"/>
      <w:sz w:val="21"/>
      <w:szCs w:val="24"/>
      <w:lang w:val="en-US" w:eastAsia="zh-CN" w:bidi="ar-SA"/>
    </w:rPr>
  </w:style>
  <w:style w:type="paragraph" w:customStyle="1" w:styleId="142">
    <w:name w:val="修订2"/>
    <w:hidden/>
    <w:unhideWhenUsed/>
    <w:qFormat/>
    <w:uiPriority w:val="99"/>
    <w:rPr>
      <w:rFonts w:ascii="Calibri" w:hAnsi="Calibri" w:eastAsia="宋体" w:cs="Times New Roman"/>
      <w:kern w:val="2"/>
      <w:sz w:val="21"/>
      <w:szCs w:val="24"/>
      <w:lang w:val="en-US" w:eastAsia="zh-CN" w:bidi="ar-SA"/>
    </w:rPr>
  </w:style>
  <w:style w:type="paragraph" w:customStyle="1" w:styleId="143">
    <w:name w:val="Revision"/>
    <w:hidden/>
    <w:unhideWhenUsed/>
    <w:qFormat/>
    <w:uiPriority w:val="99"/>
    <w:rPr>
      <w:rFonts w:ascii="Calibri" w:hAnsi="Calibri" w:eastAsia="宋体" w:cs="Times New Roman"/>
      <w:kern w:val="2"/>
      <w:sz w:val="21"/>
      <w:szCs w:val="24"/>
      <w:lang w:val="en-US" w:eastAsia="zh-CN" w:bidi="ar-SA"/>
    </w:rPr>
  </w:style>
  <w:style w:type="character" w:customStyle="1" w:styleId="144">
    <w:name w:val="批注主题 字符"/>
    <w:basedOn w:val="39"/>
    <w:link w:val="28"/>
    <w:qFormat/>
    <w:uiPriority w:val="0"/>
    <w:rPr>
      <w:rFonts w:eastAsia="宋体"/>
      <w:b/>
      <w:bCs/>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700</Words>
  <Characters>3993</Characters>
  <Lines>33</Lines>
  <Paragraphs>9</Paragraphs>
  <TotalTime>152</TotalTime>
  <ScaleCrop>false</ScaleCrop>
  <LinksUpToDate>false</LinksUpToDate>
  <CharactersWithSpaces>4684</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2023-05-20T00:58:00Z</dcterms:created>
  <dc:creator>CBRC</dc:creator>
  <cp:lastModifiedBy>王雅洁</cp:lastModifiedBy>
  <cp:lastPrinted>2013-03-29T23:41:00Z</cp:lastPrinted>
  <dcterms:modified xsi:type="dcterms:W3CDTF">2024-12-13T10:29:49Z</dcterms:modified>
  <dc:title>目录</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BD0B63C79C4243D6AFBAE99144431E8C_13</vt:lpwstr>
  </property>
</Properties>
</file>