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bCs/>
        </w:rPr>
      </w:pPr>
      <w:bookmarkStart w:id="0" w:name="_Toc379555453"/>
      <w:bookmarkStart w:id="1" w:name="_Toc349141682"/>
      <w:bookmarkStart w:id="2" w:name="_Toc352575131"/>
      <w:r>
        <w:rPr>
          <w:rFonts w:ascii="Times New Roman" w:hAnsi="Times New Roman"/>
          <w:bCs/>
        </w:rPr>
        <w:t>G4C-3(b) 《市场风险简化标准法资本要求情况表》</w:t>
      </w:r>
      <w:r>
        <w:rPr>
          <w:rFonts w:hint="eastAsia"/>
          <w:color w:val="0D0D0D" w:themeColor="text1" w:themeTint="F2"/>
          <w:lang w:eastAsia="zh-CN"/>
          <w14:textFill>
            <w14:solidFill>
              <w14:schemeClr w14:val="tx1">
                <w14:lumMod w14:val="95000"/>
                <w14:lumOff w14:val="5000"/>
              </w14:schemeClr>
            </w14:solidFill>
          </w14:textFill>
        </w:rPr>
        <w:t>（新规）</w:t>
      </w:r>
      <w:r>
        <w:rPr>
          <w:rFonts w:ascii="Times New Roman" w:hAnsi="Times New Roman"/>
          <w:bCs/>
        </w:rPr>
        <w:t>填报说明</w:t>
      </w:r>
      <w:bookmarkEnd w:id="0"/>
      <w:bookmarkEnd w:id="1"/>
      <w:bookmarkEnd w:id="2"/>
      <w:r>
        <w:rPr>
          <w:rFonts w:ascii="Times New Roman" w:hAnsi="Times New Roman"/>
          <w:bCs/>
        </w:rPr>
        <w:t>（以简化标准法计量并直接并表的附属机构）</w:t>
      </w:r>
    </w:p>
    <w:p/>
    <w:p>
      <w:pPr>
        <w:spacing w:line="440" w:lineRule="exact"/>
        <w:rPr>
          <w:b/>
          <w:szCs w:val="21"/>
        </w:rPr>
      </w:pPr>
      <w:r>
        <w:rPr>
          <w:rFonts w:hint="eastAsia"/>
          <w:b/>
          <w:szCs w:val="21"/>
        </w:rPr>
        <w:t>第一部分：引言</w:t>
      </w:r>
    </w:p>
    <w:p>
      <w:pPr>
        <w:spacing w:line="440" w:lineRule="exact"/>
        <w:ind w:firstLine="539" w:firstLineChars="257"/>
        <w:rPr>
          <w:szCs w:val="21"/>
        </w:rPr>
      </w:pPr>
      <w:r>
        <w:rPr>
          <w:rFonts w:hint="eastAsia"/>
          <w:szCs w:val="21"/>
        </w:rPr>
        <w:t>本表依据《商业银行资本管理办法》（以下简称《办</w:t>
      </w:r>
      <w:bookmarkStart w:id="3" w:name="_GoBack"/>
      <w:bookmarkEnd w:id="3"/>
      <w:r>
        <w:rPr>
          <w:rFonts w:hint="eastAsia"/>
          <w:szCs w:val="21"/>
        </w:rPr>
        <w:t>法》）制定。本表反映集团口径下，以简化标准法计量并直接并表</w:t>
      </w:r>
      <w:r>
        <w:rPr>
          <w:rFonts w:hint="eastAsia"/>
        </w:rPr>
        <w:t>的附属机构</w:t>
      </w:r>
      <w:r>
        <w:rPr>
          <w:rFonts w:hint="eastAsia"/>
          <w:szCs w:val="21"/>
        </w:rPr>
        <w:t>的市场风险资本要求情况。</w:t>
      </w:r>
    </w:p>
    <w:p>
      <w:pPr>
        <w:spacing w:line="440" w:lineRule="exact"/>
        <w:rPr>
          <w:b/>
          <w:szCs w:val="21"/>
        </w:rPr>
      </w:pPr>
      <w:r>
        <w:rPr>
          <w:rFonts w:hint="eastAsia"/>
          <w:b/>
          <w:szCs w:val="21"/>
        </w:rPr>
        <w:t>第二部分：一般说明</w:t>
      </w:r>
    </w:p>
    <w:p>
      <w:pPr>
        <w:spacing w:line="440" w:lineRule="exact"/>
        <w:ind w:firstLine="539" w:firstLineChars="257"/>
        <w:rPr>
          <w:szCs w:val="21"/>
        </w:rPr>
      </w:pPr>
      <w:r>
        <w:rPr>
          <w:rFonts w:hint="eastAsia"/>
          <w:szCs w:val="21"/>
        </w:rPr>
        <w:t>1. 报表名称：市场风险简化标准法资本要求情况表（以简化标准法计量并直接并表的附属机构）。</w:t>
      </w:r>
    </w:p>
    <w:p>
      <w:pPr>
        <w:spacing w:line="440" w:lineRule="exact"/>
        <w:ind w:firstLine="539" w:firstLineChars="257"/>
        <w:rPr>
          <w:szCs w:val="21"/>
        </w:rPr>
      </w:pPr>
      <w:r>
        <w:rPr>
          <w:rFonts w:hint="eastAsia"/>
          <w:szCs w:val="21"/>
        </w:rPr>
        <w:t>2. 报表编码：</w:t>
      </w:r>
      <w:r>
        <w:rPr>
          <w:rFonts w:hint="eastAsia"/>
          <w:szCs w:val="21"/>
          <w:lang w:eastAsia="zh-CN"/>
        </w:rPr>
        <w:t>金</w:t>
      </w:r>
      <w:r>
        <w:rPr>
          <w:rFonts w:hint="eastAsia"/>
          <w:szCs w:val="21"/>
        </w:rPr>
        <w:t>监统</w:t>
      </w:r>
      <w:r>
        <w:rPr>
          <w:szCs w:val="21"/>
        </w:rPr>
        <w:t>0052</w:t>
      </w:r>
      <w:r>
        <w:rPr>
          <w:rFonts w:hint="eastAsia"/>
          <w:szCs w:val="21"/>
        </w:rPr>
        <w:t>号。</w:t>
      </w:r>
    </w:p>
    <w:p>
      <w:pPr>
        <w:spacing w:line="440" w:lineRule="exact"/>
        <w:ind w:firstLine="539" w:firstLineChars="257"/>
        <w:rPr>
          <w:rFonts w:ascii="宋体" w:hAnsi="宋体"/>
          <w:szCs w:val="21"/>
        </w:rPr>
      </w:pPr>
      <w:r>
        <w:rPr>
          <w:rFonts w:hint="eastAsia"/>
          <w:szCs w:val="21"/>
        </w:rPr>
        <w:t>3. 填报机构：</w:t>
      </w:r>
      <w:r>
        <w:rPr>
          <w:rFonts w:hint="eastAsia" w:ascii="宋体" w:hAnsi="宋体"/>
          <w:szCs w:val="21"/>
        </w:rPr>
        <w:t>开发性金融机构和政策性银</w:t>
      </w:r>
      <w:r>
        <w:rPr>
          <w:rFonts w:ascii="宋体" w:hAnsi="宋体"/>
          <w:szCs w:val="21"/>
        </w:rPr>
        <w:t>行</w:t>
      </w:r>
      <w:r>
        <w:rPr>
          <w:rFonts w:hint="eastAsia"/>
          <w:szCs w:val="21"/>
        </w:rPr>
        <w:t>、大型商业银行（含邮储银行）</w:t>
      </w:r>
      <w:r>
        <w:rPr>
          <w:rFonts w:hint="eastAsia" w:ascii="宋体" w:hAnsi="宋体"/>
          <w:szCs w:val="21"/>
        </w:rPr>
        <w:t>、股份制商业银行、城市商业银行、民营银行、农村商业银行、农村合作银行、外资法人银行、外国银行分行（仅报送人民币账户）。</w:t>
      </w:r>
    </w:p>
    <w:p>
      <w:pPr>
        <w:spacing w:line="440" w:lineRule="exact"/>
        <w:ind w:firstLine="539" w:firstLineChars="257"/>
        <w:rPr>
          <w:szCs w:val="21"/>
        </w:rPr>
      </w:pPr>
      <w:r>
        <w:rPr>
          <w:rFonts w:hint="eastAsia" w:ascii="宋体" w:hAnsi="宋体"/>
          <w:szCs w:val="21"/>
        </w:rPr>
        <w:t>农村信用合作社、村镇银行、农村资金互助社、贷款公司、企业集团财务公司、金融租赁公司、汽车金融公司和消费金融公司将该表作为计算资本充足率的工作底稿，无需正式报送。</w:t>
      </w:r>
    </w:p>
    <w:p>
      <w:pPr>
        <w:spacing w:line="440" w:lineRule="exact"/>
        <w:ind w:firstLine="539" w:firstLineChars="257"/>
        <w:rPr>
          <w:szCs w:val="21"/>
        </w:rPr>
      </w:pPr>
      <w:r>
        <w:rPr>
          <w:rFonts w:hint="eastAsia"/>
          <w:szCs w:val="21"/>
        </w:rPr>
        <w:t>4. 报送口径、频度及时间：</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539" w:firstLineChars="257"/>
        <w:rPr>
          <w:szCs w:val="21"/>
        </w:rPr>
      </w:pPr>
      <w:r>
        <w:rPr>
          <w:rFonts w:hint="eastAsia"/>
          <w:szCs w:val="21"/>
        </w:rPr>
        <w:t>5. 报送方式：</w:t>
      </w:r>
      <w:r>
        <w:rPr>
          <w:rFonts w:hint="eastAsia" w:ascii="宋体" w:hAnsi="宋体"/>
          <w:szCs w:val="21"/>
        </w:rPr>
        <w:t>以工作底稿形式汇总反映在相关报表中</w:t>
      </w:r>
      <w:r>
        <w:rPr>
          <w:rFonts w:ascii="宋体" w:hAnsi="宋体"/>
          <w:szCs w:val="21"/>
        </w:rPr>
        <w:t>。</w:t>
      </w:r>
    </w:p>
    <w:p>
      <w:pPr>
        <w:spacing w:line="440" w:lineRule="exact"/>
        <w:ind w:firstLine="539" w:firstLineChars="257"/>
        <w:rPr>
          <w:rFonts w:ascii="宋体" w:hAnsi="宋体"/>
          <w:szCs w:val="21"/>
        </w:rPr>
      </w:pPr>
      <w:r>
        <w:rPr>
          <w:rFonts w:hint="eastAsia"/>
          <w:szCs w:val="21"/>
        </w:rPr>
        <w:t>6. 数据单位：</w:t>
      </w:r>
      <w:r>
        <w:rPr>
          <w:rFonts w:ascii="宋体" w:hAnsi="宋体"/>
          <w:szCs w:val="21"/>
        </w:rPr>
        <w:t>万元。</w:t>
      </w:r>
    </w:p>
    <w:p>
      <w:pPr>
        <w:spacing w:line="440" w:lineRule="exact"/>
        <w:ind w:firstLine="539" w:firstLineChars="257"/>
        <w:rPr>
          <w:szCs w:val="21"/>
        </w:rPr>
      </w:pPr>
      <w:r>
        <w:rPr>
          <w:rFonts w:hint="eastAsia"/>
          <w:szCs w:val="21"/>
        </w:rPr>
        <w:t>7. 四舍五入要求：</w:t>
      </w:r>
      <w:r>
        <w:rPr>
          <w:rFonts w:ascii="宋体" w:hAnsi="宋体"/>
          <w:szCs w:val="21"/>
        </w:rPr>
        <w:t>金额保留</w:t>
      </w:r>
      <w:r>
        <w:rPr>
          <w:rFonts w:hint="eastAsia" w:ascii="宋体" w:hAnsi="宋体"/>
          <w:szCs w:val="21"/>
        </w:rPr>
        <w:t>两位小数</w:t>
      </w:r>
      <w:r>
        <w:rPr>
          <w:rFonts w:ascii="宋体" w:hAnsi="宋体"/>
          <w:szCs w:val="21"/>
        </w:rPr>
        <w:t>。</w:t>
      </w:r>
    </w:p>
    <w:p>
      <w:pPr>
        <w:spacing w:line="440" w:lineRule="exact"/>
        <w:ind w:firstLine="525" w:firstLineChars="250"/>
        <w:rPr>
          <w:rFonts w:ascii="宋体" w:hAnsi="宋体"/>
          <w:szCs w:val="21"/>
        </w:rPr>
      </w:pPr>
      <w:r>
        <w:rPr>
          <w:rFonts w:hint="eastAsia"/>
          <w:szCs w:val="21"/>
        </w:rPr>
        <w:t>8. 填报货币：</w:t>
      </w:r>
      <w:r>
        <w:rPr>
          <w:rFonts w:hint="eastAsia" w:ascii="宋体" w:hAnsi="宋体"/>
          <w:szCs w:val="21"/>
        </w:rPr>
        <w:t>本表按本外币合计人民币填报。银行业金融机构将外币折算为人民币时，应按照报告期末最后一天国家外汇管理局公布的人民币兑美元、欧元、日元和港币的基准汇价进行折算。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szCs w:val="21"/>
        </w:rPr>
      </w:pPr>
      <w:r>
        <w:rPr>
          <w:rFonts w:hint="eastAsia"/>
          <w:b/>
          <w:szCs w:val="21"/>
        </w:rPr>
        <w:t>第三部分：具体说明</w:t>
      </w:r>
    </w:p>
    <w:p>
      <w:pPr>
        <w:spacing w:line="440" w:lineRule="exact"/>
        <w:ind w:firstLine="472" w:firstLineChars="225"/>
        <w:rPr>
          <w:szCs w:val="21"/>
        </w:rPr>
      </w:pPr>
      <w:r>
        <w:rPr>
          <w:rFonts w:hint="eastAsia"/>
          <w:szCs w:val="21"/>
        </w:rPr>
        <w:t>本表反映集团口径下，填报机构的附属机构（以下简称附属机构）简化标准法下的市场风险资本要求总体情况。</w:t>
      </w:r>
    </w:p>
    <w:p>
      <w:pPr>
        <w:spacing w:line="440" w:lineRule="exact"/>
        <w:ind w:firstLine="472" w:firstLineChars="225"/>
        <w:rPr>
          <w:szCs w:val="21"/>
        </w:rPr>
      </w:pPr>
      <w:r>
        <w:rPr>
          <w:rFonts w:hint="eastAsia"/>
          <w:szCs w:val="21"/>
        </w:rPr>
        <w:t>附属机构市场风险资本要求应覆盖交易账簿中的利率风险和股票风险，以及全账簿汇率风险和商品风险；附属机构可以不对结构性外汇头寸、资本扣除项对应的外汇头寸计提汇率风险资本要求。</w:t>
      </w:r>
    </w:p>
    <w:p>
      <w:pPr>
        <w:spacing w:line="440" w:lineRule="exact"/>
        <w:ind w:firstLine="472" w:firstLineChars="225"/>
        <w:rPr>
          <w:szCs w:val="21"/>
        </w:rPr>
      </w:pPr>
      <w:r>
        <w:rPr>
          <w:rFonts w:hint="eastAsia"/>
          <w:szCs w:val="21"/>
        </w:rPr>
        <w:t>填报机构应根据《办法》附件13 划分交易账簿和银行账簿。其中，对于附件1</w:t>
      </w:r>
      <w:r>
        <w:rPr>
          <w:szCs w:val="21"/>
        </w:rPr>
        <w:t>3</w:t>
      </w:r>
      <w:r>
        <w:rPr>
          <w:rFonts w:hint="eastAsia"/>
          <w:szCs w:val="21"/>
        </w:rPr>
        <w:t>第一部分（三）中提到的“会产生银行账簿信用净空头头寸或股权净空头头寸的金融工具”，包括股权价格下跌或者债券发行人信用利差扩大，导致银行账簿的账面价值增加的情形。例如银行使用CDS对冲银行账簿贷款的风险时，可能因过度对冲导致银行账簿产生信用净空头头寸。</w:t>
      </w:r>
    </w:p>
    <w:p>
      <w:pPr>
        <w:spacing w:line="440" w:lineRule="exact"/>
        <w:ind w:firstLine="472" w:firstLineChars="225"/>
        <w:rPr>
          <w:szCs w:val="21"/>
        </w:rPr>
      </w:pPr>
      <w:r>
        <w:rPr>
          <w:rFonts w:hint="eastAsia"/>
          <w:szCs w:val="21"/>
        </w:rPr>
        <w:t>填报机构应为结构性外汇头寸制定风险管理政策并向国家金融监督管理总局备案，书面记录不计提资本要求的头寸金额以备审查。结构性外汇头寸存续期内资本要求的处理需保持一致，扣除期限至少为6个月。</w:t>
      </w:r>
    </w:p>
    <w:p>
      <w:pPr>
        <w:spacing w:line="440" w:lineRule="exact"/>
        <w:ind w:firstLine="472" w:firstLineChars="225"/>
        <w:rPr>
          <w:szCs w:val="21"/>
        </w:rPr>
      </w:pPr>
      <w:r>
        <w:rPr>
          <w:rFonts w:hint="eastAsia"/>
          <w:szCs w:val="21"/>
        </w:rPr>
        <w:t>结构性外汇头寸可来自以下事项：</w:t>
      </w:r>
    </w:p>
    <w:p>
      <w:pPr>
        <w:spacing w:line="440" w:lineRule="exact"/>
        <w:ind w:firstLine="472" w:firstLineChars="225"/>
        <w:rPr>
          <w:szCs w:val="21"/>
        </w:rPr>
      </w:pPr>
      <w:r>
        <w:rPr>
          <w:rFonts w:hint="eastAsia"/>
          <w:szCs w:val="21"/>
        </w:rPr>
        <w:t>（1）对以外币计价的非并表关联企业的投资；</w:t>
      </w:r>
    </w:p>
    <w:p>
      <w:pPr>
        <w:spacing w:line="440" w:lineRule="exact"/>
        <w:ind w:firstLine="472" w:firstLineChars="225"/>
        <w:rPr>
          <w:szCs w:val="21"/>
        </w:rPr>
      </w:pPr>
      <w:r>
        <w:rPr>
          <w:rFonts w:hint="eastAsia"/>
          <w:szCs w:val="21"/>
        </w:rPr>
        <w:t>（2）对以外币计价的并表子公司或分支机构的投资；</w:t>
      </w:r>
    </w:p>
    <w:p>
      <w:pPr>
        <w:spacing w:line="440" w:lineRule="exact"/>
        <w:ind w:firstLine="472" w:firstLineChars="225"/>
        <w:rPr>
          <w:szCs w:val="21"/>
        </w:rPr>
      </w:pPr>
      <w:r>
        <w:rPr>
          <w:rFonts w:hint="eastAsia"/>
          <w:szCs w:val="21"/>
        </w:rPr>
        <w:t>（3）其他符合结构性外汇头寸定义的外汇头寸。</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上述第（3）项，法人口径下，可包括境外分支机构因经营积累形成的权益项目；并表口径下，可包括境外附属公司经营形成的相关权益项目，如外币留存收益。上述权益主要用于开展经营，与资产负债匹配，可起到保护资本充足率的作用。</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于商业银行吸收的外币资本金（含附属机构发行的外币资本工具），如能够证明其起到了保护资本充足率不受汇率变化影响的作用，可向国家金融监督管理总局或其派出机构申请，经认可后，商业银行可将该部分头寸作为结构性外汇头寸予以扣除。</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商业银行计入结构性外汇头寸的金额应与对应的实际外汇头寸相匹配。如法人口径下，商业银行针对采用成本法核算的外币长期股权投资，不得将该投资对应的附属公司外币留存收益作为结构性外汇头寸予以扣除。这是因为附属公司外币留存收益体现在附属公司的资产负债表，而不体现在母公司的资产负债表，不计入母公司法人口径下的实际外汇头寸。</w:t>
      </w:r>
    </w:p>
    <w:p>
      <w:pPr>
        <w:spacing w:line="440" w:lineRule="exact"/>
        <w:ind w:firstLine="472" w:firstLineChars="225"/>
        <w:rPr>
          <w:rFonts w:hint="eastAsia"/>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此外，对于固定资产和物业、无形资产等资产端项目，不应作为结构性外汇头寸扣除。</w:t>
      </w:r>
    </w:p>
    <w:p>
      <w:pPr>
        <w:spacing w:line="440" w:lineRule="exact"/>
        <w:ind w:firstLine="472" w:firstLineChars="225"/>
        <w:rPr>
          <w:szCs w:val="21"/>
        </w:rPr>
      </w:pPr>
      <w:r>
        <w:rPr>
          <w:rFonts w:hint="eastAsia"/>
          <w:szCs w:val="21"/>
        </w:rPr>
        <w:t>对于交易账簿下回购、债券借贷和拆借，填报机构应计提上述工具的一般利率风险、汇率风险（若有）、商品风险（若有）的一般风险的资本要求，无需计提特定风险资本要求。同时，应参照附件</w:t>
      </w:r>
      <w:r>
        <w:rPr>
          <w:szCs w:val="21"/>
        </w:rPr>
        <w:t>9</w:t>
      </w:r>
      <w:r>
        <w:rPr>
          <w:rFonts w:hint="eastAsia"/>
          <w:szCs w:val="21"/>
        </w:rPr>
        <w:t>交易对手信用风险框架下交易账簿证券融资交易的计量方法，计量交易对手的信用风险</w:t>
      </w:r>
      <w:r>
        <w:rPr>
          <w:szCs w:val="21"/>
        </w:rPr>
        <w:t>RWA</w:t>
      </w:r>
      <w:r>
        <w:rPr>
          <w:rFonts w:hint="eastAsia"/>
          <w:szCs w:val="21"/>
        </w:rPr>
        <w:t>，并填入交易对手信用风险模块相关报表。</w:t>
      </w:r>
    </w:p>
    <w:p>
      <w:pPr>
        <w:spacing w:line="440" w:lineRule="exact"/>
        <w:ind w:firstLine="472" w:firstLineChars="225"/>
        <w:rPr>
          <w:szCs w:val="21"/>
        </w:rPr>
      </w:pPr>
      <w:r>
        <w:rPr>
          <w:rFonts w:hint="eastAsia"/>
          <w:szCs w:val="21"/>
        </w:rPr>
        <w:t>填报机构应按以下逻辑计量交易账簿下资产管理产品的资本要求：</w:t>
      </w:r>
    </w:p>
    <w:p>
      <w:pPr>
        <w:spacing w:line="440" w:lineRule="exact"/>
        <w:ind w:firstLine="472" w:firstLineChars="225"/>
        <w:rPr>
          <w:szCs w:val="21"/>
        </w:rPr>
      </w:pPr>
      <w:r>
        <w:rPr>
          <w:rFonts w:hint="eastAsia"/>
          <w:szCs w:val="21"/>
        </w:rPr>
        <w:t>1.对于可以穿透的资产管理产品，应采用穿透法计量资本要求，视为直接持有底层资产并计量相应的风险资本要求。若穿透后底层资产为银行账簿类工具，应根据其风险类别纳入相应的风险框架计量。如现金、存款、货币拆借等工具的信用风险，应纳入信用风险框架计量风险加权资产，其对应外汇头寸的汇率风险仍应在市场风险框架下计量。</w:t>
      </w:r>
    </w:p>
    <w:p>
      <w:pPr>
        <w:spacing w:line="440" w:lineRule="exact"/>
        <w:ind w:firstLine="472" w:firstLineChars="225"/>
        <w:rPr>
          <w:szCs w:val="21"/>
        </w:rPr>
      </w:pPr>
      <w:r>
        <w:rPr>
          <w:rFonts w:hint="eastAsia"/>
          <w:szCs w:val="21"/>
        </w:rPr>
        <w:t>2.对于不能穿透的资产管理产品，填报机构应将资产管理产品视作权益产品，计提股票风险资本要求。</w:t>
      </w:r>
    </w:p>
    <w:p>
      <w:pPr>
        <w:spacing w:line="440" w:lineRule="exact"/>
        <w:ind w:firstLine="472" w:firstLineChars="225"/>
        <w:rPr>
          <w:szCs w:val="21"/>
        </w:rPr>
      </w:pPr>
      <w:r>
        <w:rPr>
          <w:rFonts w:hint="eastAsia"/>
          <w:szCs w:val="21"/>
        </w:rPr>
        <w:t>3.对于可以部分穿透的资产管理产品，填报机构可采用两种方法混合的形式计量资本。对于可以穿透的部分，按照穿透法计量资本要求；对于不可穿透的部分，按照股票风险计提资本要求。</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1</w:t>
      </w:r>
      <w:r>
        <w:rPr>
          <w:rFonts w:hint="eastAsia"/>
        </w:rPr>
        <w:t xml:space="preserve"> </w:t>
      </w:r>
      <w:r>
        <w:rPr>
          <w:rFonts w:hint="eastAsia" w:ascii="宋体" w:hAnsi="宋体"/>
          <w:szCs w:val="21"/>
        </w:rPr>
        <w:t>.利率风险</w:t>
      </w:r>
      <w:r>
        <w:rPr>
          <w:rFonts w:ascii="宋体" w:hAnsi="宋体"/>
          <w:szCs w:val="21"/>
        </w:rPr>
        <w:t>]</w:t>
      </w:r>
      <w:r>
        <w:rPr>
          <w:rFonts w:hint="eastAsia" w:ascii="宋体" w:hAnsi="宋体"/>
          <w:szCs w:val="21"/>
        </w:rPr>
        <w:t>：指附属机构利率风险资本要求金额。利率风险包括交易账簿中的债券（固定利率和浮动利率债券、央行票据、可转让存单、不可转换优先股及按照债券交易规则进行交易的可转换债券等）、利率及债券衍生工具头寸的风险。利率风险的资本要求包括特定市场风险和一般市场风险的资本要求两部分。附属机构采取包销方式承销债券产生的头寸、交易账簿中的信用衍生产品头寸产生的利率风险也在本项反映。</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1.1一般风险</w:t>
      </w:r>
      <w:r>
        <w:rPr>
          <w:rFonts w:ascii="宋体" w:hAnsi="宋体"/>
          <w:szCs w:val="21"/>
        </w:rPr>
        <w:t>]</w:t>
      </w:r>
      <w:r>
        <w:rPr>
          <w:rFonts w:hint="eastAsia" w:ascii="宋体" w:hAnsi="宋体"/>
          <w:szCs w:val="21"/>
        </w:rPr>
        <w:t>：指附属机构一般利率风险资本要求金额。一般利率风险是指因利率市场价格因子的不利变动而使填报机构表内和表外业务发生损失的风险。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1.2特定风险</w:t>
      </w:r>
      <w:r>
        <w:rPr>
          <w:rFonts w:ascii="宋体" w:hAnsi="宋体"/>
          <w:szCs w:val="21"/>
        </w:rPr>
        <w:t>]</w:t>
      </w:r>
      <w:r>
        <w:rPr>
          <w:rFonts w:hint="eastAsia" w:ascii="宋体" w:hAnsi="宋体"/>
          <w:szCs w:val="21"/>
        </w:rPr>
        <w:t>：指附属机构特定利率市场风险资本要求金额。特定利率风险是指证券的价格因其发行人的原因而出现的不利波动带来的表内外业务发生损失的风险。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1.3期权风险（简易法）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采用简易法计量利率产品的期权市场风险资本要求金额。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1.4期权风险（得尔塔+法）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采用得尔塔+法计量利率产品的期权市场风险资本要求金额。</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2</w:t>
      </w:r>
      <w:r>
        <w:rPr>
          <w:rFonts w:hint="eastAsia"/>
        </w:rPr>
        <w:t xml:space="preserve"> </w:t>
      </w:r>
      <w:r>
        <w:rPr>
          <w:rFonts w:hint="eastAsia" w:ascii="宋体" w:hAnsi="宋体"/>
          <w:szCs w:val="21"/>
        </w:rPr>
        <w:t>.股票风险</w:t>
      </w:r>
      <w:r>
        <w:rPr>
          <w:rFonts w:ascii="宋体" w:hAnsi="宋体"/>
          <w:szCs w:val="21"/>
        </w:rPr>
        <w:t>]</w:t>
      </w:r>
      <w:r>
        <w:rPr>
          <w:rFonts w:hint="eastAsia" w:ascii="宋体" w:hAnsi="宋体"/>
          <w:szCs w:val="21"/>
        </w:rPr>
        <w:t>：股票风险是指交易账簿中股票及股票衍生金融工具头寸的风险。其中股票是指按照股票交易规则进行交易的所有金融工具，包括普通股（不考虑是否具有投票权）、可转换债券和买卖股票的承诺。股票衍生工具包括股票和股票指数的远期、期货、互换合约、期权。衍生工具应要转换为基础工具，并按基础工具的特定市场风险和一般市场风险的方法计算资本要求。</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2.1一般风险</w:t>
      </w:r>
      <w:r>
        <w:rPr>
          <w:rFonts w:ascii="宋体" w:hAnsi="宋体"/>
          <w:szCs w:val="21"/>
        </w:rPr>
        <w:t>]</w:t>
      </w:r>
      <w:r>
        <w:rPr>
          <w:rFonts w:hint="eastAsia" w:ascii="宋体" w:hAnsi="宋体"/>
          <w:szCs w:val="21"/>
        </w:rPr>
        <w:t>：指附属机构一般股票风险资本要求金额。一般股票风险是指因股票市场价格因子的不利变动而使填报机构表内和表外业务发生损失的风险。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2.2特定风险</w:t>
      </w:r>
      <w:r>
        <w:rPr>
          <w:rFonts w:ascii="宋体" w:hAnsi="宋体"/>
          <w:szCs w:val="21"/>
        </w:rPr>
        <w:t>]</w:t>
      </w:r>
      <w:r>
        <w:rPr>
          <w:rFonts w:hint="eastAsia" w:ascii="宋体" w:hAnsi="宋体"/>
          <w:szCs w:val="21"/>
        </w:rPr>
        <w:t>：指附属机构特定股票风险资本要求金额。特定股票风险是指股票的价格因其发行人的原因而出现的不利波动带来的表内外业务发生损失的风险。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2.3期权风险（简易法）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采用简易法计量股票产品的期权市场风险资本要求金额。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2.4期权风险（得尔塔+法）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采用得尔塔+法计量股票产品的期权市场风险资本要求金额。</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3</w:t>
      </w:r>
      <w:r>
        <w:rPr>
          <w:rFonts w:hint="eastAsia"/>
        </w:rPr>
        <w:t xml:space="preserve"> </w:t>
      </w:r>
      <w:r>
        <w:rPr>
          <w:rFonts w:hint="eastAsia" w:ascii="宋体" w:hAnsi="宋体"/>
          <w:szCs w:val="21"/>
        </w:rPr>
        <w:t>.汇率风险</w:t>
      </w:r>
      <w:r>
        <w:rPr>
          <w:rFonts w:ascii="宋体" w:hAnsi="宋体"/>
          <w:szCs w:val="21"/>
        </w:rPr>
        <w:t>]</w:t>
      </w:r>
      <w:r>
        <w:rPr>
          <w:rFonts w:hint="eastAsia" w:ascii="宋体" w:hAnsi="宋体"/>
          <w:szCs w:val="21"/>
        </w:rPr>
        <w:t>：指附属机构汇率风险资本要求金额。汇率风险是指银行账户及交易账簿中外汇（包括黄金）及外汇衍生金融工具头寸的风险，外汇衍生工具应转换为基础工具，并按基础工具的方法计算市场风险资本要求。附属机构可以不对结构性外汇头寸计提资本。</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3.1一般风险</w:t>
      </w:r>
      <w:r>
        <w:rPr>
          <w:rFonts w:ascii="宋体" w:hAnsi="宋体"/>
          <w:szCs w:val="21"/>
        </w:rPr>
        <w:t>]</w:t>
      </w:r>
      <w:r>
        <w:rPr>
          <w:rFonts w:hint="eastAsia" w:ascii="宋体" w:hAnsi="宋体"/>
          <w:szCs w:val="21"/>
        </w:rPr>
        <w:t>：指附属机构一般汇率风险资本要求金额。一般汇率市场风险是指因汇率市场价格因子的不利变动而使填报机构表内和表外业务发生损失的风险。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3.2期权风险（简易法）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采用简易法计量汇率产品的期权市场风险资本要求金额。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3.3期权风险（得尔塔+法）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采用得尔塔+法计量汇率产品的期权市场风险资本要求金额。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4</w:t>
      </w:r>
      <w:r>
        <w:rPr>
          <w:rFonts w:hint="eastAsia"/>
        </w:rPr>
        <w:t xml:space="preserve"> </w:t>
      </w:r>
      <w:r>
        <w:rPr>
          <w:rFonts w:hint="eastAsia" w:ascii="宋体" w:hAnsi="宋体"/>
          <w:szCs w:val="21"/>
        </w:rPr>
        <w:t>.商品风险</w:t>
      </w:r>
      <w:r>
        <w:rPr>
          <w:rFonts w:ascii="宋体" w:hAnsi="宋体"/>
          <w:szCs w:val="21"/>
        </w:rPr>
        <w:t>]</w:t>
      </w:r>
      <w:r>
        <w:rPr>
          <w:rFonts w:hint="eastAsia" w:ascii="宋体" w:hAnsi="宋体"/>
          <w:szCs w:val="21"/>
        </w:rPr>
        <w:t>：指附属机构商品风险资本要求金额。商品风险是指银行账户及交易账簿上可以在二级市场买卖的实物产品头寸产生的风险，如贵金属（不包括黄金）、农产品和矿物（包括石油）等，包括商品、商品远期、商品期货、商品掉期、商品期权。</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4.1一般风险</w:t>
      </w:r>
      <w:r>
        <w:rPr>
          <w:rFonts w:ascii="宋体" w:hAnsi="宋体"/>
          <w:szCs w:val="21"/>
        </w:rPr>
        <w:t>]</w:t>
      </w:r>
      <w:r>
        <w:rPr>
          <w:rFonts w:hint="eastAsia" w:ascii="宋体" w:hAnsi="宋体"/>
          <w:szCs w:val="21"/>
        </w:rPr>
        <w:t>：指附属机构一般商品风险资本要求金额。一般商品市场风险是指因商品市场价格因子的不利变动而使填报机构表内和表外业务发生损失的风险。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4.2期权风险（简易法）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采用简易法计量商品类产品的期权市场风险资本要求金额。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4.3期权风险（得尔塔+法）</w:t>
      </w:r>
      <w:r>
        <w:rPr>
          <w:rFonts w:ascii="宋体" w:hAnsi="宋体"/>
          <w:szCs w:val="21"/>
        </w:rPr>
        <w:t>]</w:t>
      </w:r>
      <w:r>
        <w:rPr>
          <w:rFonts w:hint="eastAsia" w:ascii="宋体" w:hAnsi="宋体"/>
          <w:szCs w:val="21"/>
        </w:rPr>
        <w:t>：指</w:t>
      </w:r>
      <w:r>
        <w:rPr>
          <w:rFonts w:ascii="宋体" w:hAnsi="宋体"/>
          <w:szCs w:val="21"/>
        </w:rPr>
        <w:t>附属机构</w:t>
      </w:r>
      <w:r>
        <w:rPr>
          <w:rFonts w:hint="eastAsia" w:ascii="宋体" w:hAnsi="宋体"/>
          <w:szCs w:val="21"/>
        </w:rPr>
        <w:t>采用得尔塔+法计量商品类产品的期权市场风险资本要求金额。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5</w:t>
      </w:r>
      <w:r>
        <w:rPr>
          <w:rFonts w:hint="eastAsia"/>
        </w:rPr>
        <w:t xml:space="preserve"> </w:t>
      </w:r>
      <w:r>
        <w:rPr>
          <w:rFonts w:hint="eastAsia" w:ascii="宋体" w:hAnsi="宋体"/>
          <w:szCs w:val="21"/>
        </w:rPr>
        <w:t>.交易账簿证券化风险暴露的特定风险</w:t>
      </w:r>
      <w:r>
        <w:rPr>
          <w:rFonts w:ascii="宋体" w:hAnsi="宋体"/>
          <w:szCs w:val="21"/>
        </w:rPr>
        <w:t>]</w:t>
      </w:r>
      <w:r>
        <w:rPr>
          <w:rFonts w:hint="eastAsia" w:ascii="宋体" w:hAnsi="宋体"/>
          <w:szCs w:val="21"/>
        </w:rPr>
        <w:t>：指附属机构交易账簿中资产证券化风险暴露的特定风险资本要求金额。交易账簿资产证券化风险暴露的风险权重依照《办法》附件11确定，根据附件11计算得到的风险加权资产，除以12.5得到特定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6.市场风险资本要求总额</w:t>
      </w:r>
      <w:r>
        <w:rPr>
          <w:rFonts w:ascii="宋体" w:hAnsi="宋体"/>
          <w:szCs w:val="21"/>
        </w:rPr>
        <w:t>]</w:t>
      </w:r>
      <w:r>
        <w:rPr>
          <w:rFonts w:hint="eastAsia" w:ascii="宋体" w:hAnsi="宋体"/>
          <w:szCs w:val="21"/>
        </w:rPr>
        <w:t>：指附属机构全部市场风险资本要求金额。市场风险资本要求 = 利率风险资本要求（含利率类期权资本要求）×1.3+汇率风险资本要求（含汇率类期权资本要求）×1.2+商品风险资本要求（含商品类期权资本要求）×1.9+股票风险资本要求（含股票类期权资本要求）×3.5</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7.市场风险的风险加权资产总额</w:t>
      </w:r>
      <w:r>
        <w:rPr>
          <w:rFonts w:ascii="宋体" w:hAnsi="宋体"/>
          <w:szCs w:val="21"/>
        </w:rPr>
        <w:t>]</w:t>
      </w:r>
      <w:r>
        <w:rPr>
          <w:rFonts w:hint="eastAsia" w:ascii="宋体" w:hAnsi="宋体"/>
          <w:szCs w:val="21"/>
        </w:rPr>
        <w:t>：指附属机构市场风险资本要求对应的风险加权资产总额，等于市场风险资本要求总额乘以12.5。</w:t>
      </w:r>
    </w:p>
    <w:p>
      <w:pPr>
        <w:spacing w:line="440" w:lineRule="exact"/>
        <w:rPr>
          <w:rFonts w:ascii="宋体"/>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第四部分：其他说明</w:t>
      </w:r>
    </w:p>
    <w:p>
      <w:pPr>
        <w:spacing w:line="440" w:lineRule="exact"/>
        <w:ind w:firstLine="420" w:firstLineChars="200"/>
        <w:rPr>
          <w:rFonts w:ascii="宋体" w:hAnsi="宋体"/>
          <w:szCs w:val="21"/>
        </w:rPr>
      </w:pPr>
      <w:r>
        <w:rPr>
          <w:rFonts w:hint="eastAsia" w:ascii="宋体" w:hAnsi="宋体"/>
          <w:color w:val="0D0D0D" w:themeColor="text1" w:themeTint="F2"/>
          <w:szCs w:val="21"/>
          <w14:textFill>
            <w14:solidFill>
              <w14:schemeClr w14:val="tx1">
                <w14:lumMod w14:val="95000"/>
                <w14:lumOff w14:val="5000"/>
              </w14:schemeClr>
            </w14:solidFill>
          </w14:textFill>
        </w:rPr>
        <w:t>1.除第二部分规定的折算汇率计算方法外，填报机构也可选取报告期末某一固定时点的市场实际交易价格作为折算汇率。</w:t>
      </w:r>
    </w:p>
    <w:p>
      <w:pPr>
        <w:spacing w:line="440" w:lineRule="exact"/>
        <w:rPr>
          <w:rFonts w:ascii="宋体"/>
          <w:b/>
          <w:szCs w:val="21"/>
        </w:rPr>
      </w:pPr>
      <w:r>
        <w:rPr>
          <w:rFonts w:hint="eastAsia"/>
          <w:b/>
          <w:szCs w:val="21"/>
        </w:rPr>
        <w:t>第五部分：核对关系</w:t>
      </w:r>
    </w:p>
    <w:p>
      <w:pPr>
        <w:spacing w:line="440" w:lineRule="exact"/>
        <w:ind w:firstLine="541" w:firstLineChars="257"/>
        <w:rPr>
          <w:rFonts w:ascii="宋体"/>
          <w:b/>
          <w:bCs/>
          <w:szCs w:val="21"/>
        </w:rPr>
      </w:pPr>
      <w:r>
        <w:rPr>
          <w:rFonts w:hint="eastAsia" w:ascii="宋体"/>
          <w:b/>
          <w:bCs/>
          <w:szCs w:val="21"/>
        </w:rPr>
        <w:t>表内核对关系</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1.A</w:t>
      </w:r>
      <w:r>
        <w:rPr>
          <w:rFonts w:ascii="宋体" w:hAnsi="宋体"/>
          <w:szCs w:val="21"/>
        </w:rPr>
        <w:t>]</w:t>
      </w:r>
      <w:r>
        <w:rPr>
          <w:rFonts w:hint="eastAsia" w:ascii="宋体" w:hAnsi="Arial"/>
          <w:szCs w:val="21"/>
        </w:rPr>
        <w:t>=</w:t>
      </w:r>
      <w:r>
        <w:rPr>
          <w:rFonts w:ascii="宋体" w:hAnsi="宋体"/>
          <w:szCs w:val="21"/>
        </w:rPr>
        <w:t xml:space="preserve"> [</w:t>
      </w:r>
      <w:r>
        <w:rPr>
          <w:rFonts w:hint="eastAsia" w:ascii="宋体" w:hAnsi="宋体"/>
          <w:szCs w:val="21"/>
        </w:rPr>
        <w:t>1.1A</w:t>
      </w:r>
      <w:r>
        <w:rPr>
          <w:rFonts w:ascii="宋体" w:hAnsi="宋体"/>
          <w:szCs w:val="21"/>
        </w:rPr>
        <w:t>]</w:t>
      </w:r>
      <w:r>
        <w:rPr>
          <w:rFonts w:hint="eastAsia" w:ascii="宋体" w:hAnsi="宋体"/>
          <w:szCs w:val="21"/>
        </w:rPr>
        <w:t>+</w:t>
      </w:r>
      <w:r>
        <w:rPr>
          <w:rFonts w:ascii="宋体" w:hAnsi="宋体"/>
          <w:szCs w:val="21"/>
        </w:rPr>
        <w:t xml:space="preserve"> [</w:t>
      </w:r>
      <w:r>
        <w:rPr>
          <w:rFonts w:hint="eastAsia" w:ascii="宋体" w:hAnsi="宋体"/>
          <w:szCs w:val="21"/>
        </w:rPr>
        <w:t>1.2A</w:t>
      </w:r>
      <w:r>
        <w:rPr>
          <w:rFonts w:ascii="宋体" w:hAnsi="宋体"/>
          <w:szCs w:val="21"/>
        </w:rPr>
        <w:t>]</w:t>
      </w:r>
      <w:r>
        <w:rPr>
          <w:rFonts w:hint="eastAsia" w:ascii="宋体" w:hAnsi="宋体"/>
          <w:szCs w:val="21"/>
        </w:rPr>
        <w:t>+</w:t>
      </w:r>
      <w:r>
        <w:rPr>
          <w:rFonts w:ascii="宋体" w:hAnsi="宋体"/>
          <w:szCs w:val="21"/>
        </w:rPr>
        <w:t xml:space="preserve"> [</w:t>
      </w:r>
      <w:r>
        <w:rPr>
          <w:rFonts w:hint="eastAsia" w:ascii="宋体" w:hAnsi="宋体"/>
          <w:szCs w:val="21"/>
        </w:rPr>
        <w:t>1.3A]+</w:t>
      </w:r>
      <w:r>
        <w:rPr>
          <w:rFonts w:ascii="宋体" w:hAnsi="宋体"/>
          <w:szCs w:val="21"/>
        </w:rPr>
        <w:t xml:space="preserve"> [</w:t>
      </w:r>
      <w:r>
        <w:rPr>
          <w:rFonts w:hint="eastAsia" w:ascii="宋体" w:hAnsi="宋体"/>
          <w:szCs w:val="21"/>
        </w:rPr>
        <w:t>1.4A]</w:t>
      </w:r>
    </w:p>
    <w:p>
      <w:pPr>
        <w:tabs>
          <w:tab w:val="left" w:pos="1260"/>
        </w:tabs>
        <w:spacing w:line="440" w:lineRule="exact"/>
        <w:ind w:left="540"/>
        <w:rPr>
          <w:rFonts w:ascii="宋体" w:hAnsi="Arial"/>
          <w:szCs w:val="21"/>
        </w:rPr>
      </w:pPr>
      <w:r>
        <w:rPr>
          <w:rFonts w:ascii="宋体" w:hAnsi="宋体"/>
          <w:szCs w:val="21"/>
        </w:rPr>
        <w:t>[2</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 xml:space="preserve"> [2</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 xml:space="preserve"> [2</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 xml:space="preserve"> [2</w:t>
      </w:r>
      <w:r>
        <w:rPr>
          <w:rFonts w:hint="eastAsia" w:ascii="宋体" w:hAnsi="宋体"/>
          <w:szCs w:val="21"/>
        </w:rPr>
        <w:t>.3A]+</w:t>
      </w:r>
      <w:r>
        <w:rPr>
          <w:rFonts w:ascii="宋体" w:hAnsi="宋体"/>
          <w:szCs w:val="21"/>
        </w:rPr>
        <w:t xml:space="preserve"> [2</w:t>
      </w:r>
      <w:r>
        <w:rPr>
          <w:rFonts w:hint="eastAsia" w:ascii="宋体" w:hAnsi="宋体"/>
          <w:szCs w:val="21"/>
        </w:rPr>
        <w:t>.4A]</w:t>
      </w:r>
      <w:r>
        <w:rPr>
          <w:rFonts w:ascii="宋体" w:hAnsi="宋体"/>
          <w:szCs w:val="21"/>
        </w:rPr>
        <w:t xml:space="preserve"> </w:t>
      </w:r>
    </w:p>
    <w:p>
      <w:pPr>
        <w:tabs>
          <w:tab w:val="left" w:pos="1260"/>
        </w:tabs>
        <w:spacing w:line="440" w:lineRule="exact"/>
        <w:ind w:left="540"/>
        <w:rPr>
          <w:rFonts w:ascii="宋体" w:hAnsi="Arial"/>
          <w:szCs w:val="21"/>
        </w:rPr>
      </w:pPr>
      <w:r>
        <w:rPr>
          <w:rFonts w:ascii="宋体" w:hAnsi="宋体"/>
          <w:szCs w:val="21"/>
        </w:rPr>
        <w:t>[3</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 xml:space="preserve"> [3</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 xml:space="preserve"> [3</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 xml:space="preserve"> [3</w:t>
      </w:r>
      <w:r>
        <w:rPr>
          <w:rFonts w:hint="eastAsia" w:ascii="宋体" w:hAnsi="宋体"/>
          <w:szCs w:val="21"/>
        </w:rPr>
        <w:t>.3A]</w:t>
      </w:r>
    </w:p>
    <w:p>
      <w:pPr>
        <w:tabs>
          <w:tab w:val="left" w:pos="1260"/>
        </w:tabs>
        <w:spacing w:line="440" w:lineRule="exact"/>
        <w:ind w:left="540"/>
        <w:rPr>
          <w:rFonts w:ascii="宋体" w:hAnsi="Arial"/>
          <w:szCs w:val="21"/>
        </w:rPr>
      </w:pPr>
      <w:r>
        <w:rPr>
          <w:rFonts w:ascii="宋体" w:hAnsi="宋体"/>
          <w:szCs w:val="21"/>
        </w:rPr>
        <w:t>[4</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 xml:space="preserve"> [4</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 xml:space="preserve"> [4</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 xml:space="preserve"> [4</w:t>
      </w:r>
      <w:r>
        <w:rPr>
          <w:rFonts w:hint="eastAsia" w:ascii="宋体" w:hAnsi="宋体"/>
          <w:szCs w:val="21"/>
        </w:rPr>
        <w:t>.3A]</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6.</w:t>
      </w:r>
      <w:r>
        <w:rPr>
          <w:rFonts w:ascii="宋体" w:hAnsi="宋体"/>
          <w:szCs w:val="21"/>
        </w:rPr>
        <w:t>A]</w:t>
      </w:r>
      <w:r>
        <w:rPr>
          <w:rFonts w:hint="eastAsia" w:ascii="宋体" w:hAnsi="宋体"/>
          <w:szCs w:val="21"/>
        </w:rPr>
        <w:t>=</w:t>
      </w:r>
      <w:r>
        <w:rPr>
          <w:rFonts w:ascii="宋体" w:hAnsi="宋体"/>
          <w:szCs w:val="21"/>
        </w:rPr>
        <w:t xml:space="preserve"> [</w:t>
      </w:r>
      <w:r>
        <w:rPr>
          <w:rFonts w:hint="eastAsia" w:ascii="宋体" w:hAnsi="宋体"/>
          <w:szCs w:val="21"/>
        </w:rPr>
        <w:t>1.A</w:t>
      </w:r>
      <w:r>
        <w:rPr>
          <w:rFonts w:ascii="宋体" w:hAnsi="宋体"/>
          <w:szCs w:val="21"/>
        </w:rPr>
        <w:t>]*1.3+ [2</w:t>
      </w:r>
      <w:r>
        <w:rPr>
          <w:rFonts w:hint="eastAsia" w:ascii="宋体" w:hAnsi="宋体"/>
          <w:szCs w:val="21"/>
        </w:rPr>
        <w:t>.A</w:t>
      </w:r>
      <w:r>
        <w:rPr>
          <w:rFonts w:ascii="宋体" w:hAnsi="宋体"/>
          <w:szCs w:val="21"/>
        </w:rPr>
        <w:t>]*3.5+ [3</w:t>
      </w:r>
      <w:r>
        <w:rPr>
          <w:rFonts w:hint="eastAsia" w:ascii="宋体" w:hAnsi="宋体"/>
          <w:szCs w:val="21"/>
        </w:rPr>
        <w:t>.A</w:t>
      </w:r>
      <w:r>
        <w:rPr>
          <w:rFonts w:ascii="宋体" w:hAnsi="宋体"/>
          <w:szCs w:val="21"/>
        </w:rPr>
        <w:t>]*1.2+ [4</w:t>
      </w:r>
      <w:r>
        <w:rPr>
          <w:rFonts w:hint="eastAsia" w:ascii="宋体" w:hAnsi="宋体"/>
          <w:szCs w:val="21"/>
        </w:rPr>
        <w:t>.A</w:t>
      </w:r>
      <w:r>
        <w:rPr>
          <w:rFonts w:ascii="宋体" w:hAnsi="宋体"/>
          <w:szCs w:val="21"/>
        </w:rPr>
        <w:t>]*1.9+ [5</w:t>
      </w:r>
      <w:r>
        <w:rPr>
          <w:rFonts w:hint="eastAsia" w:ascii="宋体" w:hAnsi="宋体"/>
          <w:szCs w:val="21"/>
        </w:rPr>
        <w:t>.A</w:t>
      </w:r>
      <w:r>
        <w:rPr>
          <w:rFonts w:ascii="宋体" w:hAnsi="宋体"/>
          <w:szCs w:val="21"/>
        </w:rPr>
        <w:t xml:space="preserve">]*1.3 </w:t>
      </w:r>
    </w:p>
    <w:p>
      <w:pPr>
        <w:tabs>
          <w:tab w:val="left" w:pos="1260"/>
        </w:tabs>
        <w:spacing w:line="440" w:lineRule="exact"/>
        <w:ind w:left="540"/>
        <w:rPr>
          <w:rFonts w:ascii="宋体" w:hAnsi="Arial"/>
          <w:szCs w:val="21"/>
        </w:rPr>
      </w:pPr>
      <w:r>
        <w:rPr>
          <w:rFonts w:ascii="宋体" w:hAnsi="宋体"/>
          <w:szCs w:val="21"/>
        </w:rPr>
        <w:t>[7</w:t>
      </w:r>
      <w:r>
        <w:rPr>
          <w:rFonts w:hint="eastAsia" w:ascii="宋体" w:hAnsi="宋体"/>
          <w:szCs w:val="21"/>
        </w:rPr>
        <w:t>.</w:t>
      </w:r>
      <w:r>
        <w:rPr>
          <w:rFonts w:ascii="宋体" w:hAnsi="宋体"/>
          <w:szCs w:val="21"/>
        </w:rPr>
        <w:t>A]</w:t>
      </w:r>
      <w:r>
        <w:rPr>
          <w:rFonts w:hint="eastAsia" w:ascii="宋体" w:hAnsi="宋体"/>
          <w:szCs w:val="21"/>
        </w:rPr>
        <w:t>=</w:t>
      </w:r>
      <w:r>
        <w:rPr>
          <w:rFonts w:ascii="宋体" w:hAnsi="宋体"/>
          <w:szCs w:val="21"/>
        </w:rPr>
        <w:t xml:space="preserve"> [6.A]</w:t>
      </w:r>
      <w:r>
        <w:rPr>
          <w:rFonts w:hint="eastAsia" w:ascii="宋体" w:hAnsi="宋体"/>
          <w:szCs w:val="21"/>
        </w:rPr>
        <w:t>*12.5</w:t>
      </w:r>
    </w:p>
    <w:p>
      <w:pPr>
        <w:rPr>
          <w:szCs w:val="21"/>
        </w:rPr>
      </w:pPr>
    </w:p>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Microsoft YaHei UI">
    <w:altName w:val="AR PL UMing CN"/>
    <w:panose1 w:val="020B0503020204020204"/>
    <w:charset w:val="86"/>
    <w:family w:val="swiss"/>
    <w:pitch w:val="default"/>
    <w:sig w:usb0="00000000" w:usb1="00000000" w:usb2="00000016" w:usb3="00000000" w:csb0="0004001F" w:csb1="00000000"/>
  </w:font>
  <w:font w:name="AR PL UMing CN">
    <w:panose1 w:val="020B0309010101010101"/>
    <w:charset w:val="86"/>
    <w:family w:val="auto"/>
    <w:pitch w:val="default"/>
    <w:sig w:usb0="A00002FF" w:usb1="3ACFFDFF" w:usb2="00000036" w:usb3="00000000" w:csb0="20160097" w:csb1="CFD60000"/>
  </w:font>
  <w:font w:name="Tahoma">
    <w:altName w:val="DejaVu Sans"/>
    <w:panose1 w:val="020B0604030504040204"/>
    <w:charset w:val="00"/>
    <w:family w:val="swiss"/>
    <w:pitch w:val="default"/>
    <w:sig w:usb0="00000000" w:usb1="00000000"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fldChar w:fldCharType="begin"/>
    </w:r>
    <w:r>
      <w:rPr>
        <w:rStyle w:val="8"/>
      </w:rPr>
      <w:instrText xml:space="preserve">PAGE  </w:instrText>
    </w:r>
    <w:r>
      <w:fldChar w:fldCharType="separate"/>
    </w:r>
    <w:r>
      <w:rPr>
        <w:rStyle w:val="8"/>
      </w:rPr>
      <w:t>4</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fldChar w:fldCharType="begin"/>
    </w:r>
    <w:r>
      <w:rPr>
        <w:rStyle w:val="8"/>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A706F2"/>
    <w:rsid w:val="00010C3D"/>
    <w:rsid w:val="00017933"/>
    <w:rsid w:val="00041D00"/>
    <w:rsid w:val="00046970"/>
    <w:rsid w:val="00065BE7"/>
    <w:rsid w:val="00086B43"/>
    <w:rsid w:val="00090BF9"/>
    <w:rsid w:val="000918B0"/>
    <w:rsid w:val="000A07DF"/>
    <w:rsid w:val="000A3E37"/>
    <w:rsid w:val="000C2D0D"/>
    <w:rsid w:val="000C6BB0"/>
    <w:rsid w:val="000E313C"/>
    <w:rsid w:val="001201C3"/>
    <w:rsid w:val="001336ED"/>
    <w:rsid w:val="001803AB"/>
    <w:rsid w:val="001808BD"/>
    <w:rsid w:val="001C0436"/>
    <w:rsid w:val="0022054D"/>
    <w:rsid w:val="00223A8B"/>
    <w:rsid w:val="002550CD"/>
    <w:rsid w:val="00261886"/>
    <w:rsid w:val="002B6AED"/>
    <w:rsid w:val="002B7699"/>
    <w:rsid w:val="002D43B1"/>
    <w:rsid w:val="00353A7E"/>
    <w:rsid w:val="00360CA5"/>
    <w:rsid w:val="00364C3F"/>
    <w:rsid w:val="003B6D51"/>
    <w:rsid w:val="003D5FE6"/>
    <w:rsid w:val="00436D9F"/>
    <w:rsid w:val="00457FF4"/>
    <w:rsid w:val="00473D53"/>
    <w:rsid w:val="004A54A3"/>
    <w:rsid w:val="004B5459"/>
    <w:rsid w:val="004B7A89"/>
    <w:rsid w:val="004C5CFF"/>
    <w:rsid w:val="004D3CDC"/>
    <w:rsid w:val="004E217D"/>
    <w:rsid w:val="005562F3"/>
    <w:rsid w:val="00574316"/>
    <w:rsid w:val="005D0131"/>
    <w:rsid w:val="00607263"/>
    <w:rsid w:val="00612C5B"/>
    <w:rsid w:val="00682D86"/>
    <w:rsid w:val="00695339"/>
    <w:rsid w:val="006C3AAB"/>
    <w:rsid w:val="00741E07"/>
    <w:rsid w:val="00775BDB"/>
    <w:rsid w:val="007D3E53"/>
    <w:rsid w:val="007D6FEE"/>
    <w:rsid w:val="0083228E"/>
    <w:rsid w:val="00842AAD"/>
    <w:rsid w:val="00842EE8"/>
    <w:rsid w:val="00871AB4"/>
    <w:rsid w:val="008778E8"/>
    <w:rsid w:val="0088362A"/>
    <w:rsid w:val="008B05EF"/>
    <w:rsid w:val="008D2504"/>
    <w:rsid w:val="008D41FC"/>
    <w:rsid w:val="008E392A"/>
    <w:rsid w:val="008F0554"/>
    <w:rsid w:val="009011B7"/>
    <w:rsid w:val="00904F33"/>
    <w:rsid w:val="00956B32"/>
    <w:rsid w:val="009D029B"/>
    <w:rsid w:val="009F7929"/>
    <w:rsid w:val="00A0115F"/>
    <w:rsid w:val="00A26E16"/>
    <w:rsid w:val="00A32900"/>
    <w:rsid w:val="00A356AB"/>
    <w:rsid w:val="00A5663D"/>
    <w:rsid w:val="00A63E82"/>
    <w:rsid w:val="00A706F2"/>
    <w:rsid w:val="00A96320"/>
    <w:rsid w:val="00AB3E5E"/>
    <w:rsid w:val="00AC287B"/>
    <w:rsid w:val="00AC47B5"/>
    <w:rsid w:val="00B001B8"/>
    <w:rsid w:val="00B070E5"/>
    <w:rsid w:val="00B136B9"/>
    <w:rsid w:val="00B560B1"/>
    <w:rsid w:val="00BB4658"/>
    <w:rsid w:val="00BC035F"/>
    <w:rsid w:val="00BD4A2B"/>
    <w:rsid w:val="00BF349C"/>
    <w:rsid w:val="00BF4D5E"/>
    <w:rsid w:val="00C50C3E"/>
    <w:rsid w:val="00C57994"/>
    <w:rsid w:val="00C74CB1"/>
    <w:rsid w:val="00C861B4"/>
    <w:rsid w:val="00CE1D32"/>
    <w:rsid w:val="00D07223"/>
    <w:rsid w:val="00D2530F"/>
    <w:rsid w:val="00D45227"/>
    <w:rsid w:val="00D60B85"/>
    <w:rsid w:val="00D62D78"/>
    <w:rsid w:val="00D9702E"/>
    <w:rsid w:val="00DD1D41"/>
    <w:rsid w:val="00DD423F"/>
    <w:rsid w:val="00DE5143"/>
    <w:rsid w:val="00DE5D97"/>
    <w:rsid w:val="00E13245"/>
    <w:rsid w:val="00E4599A"/>
    <w:rsid w:val="00E5375C"/>
    <w:rsid w:val="00ED0116"/>
    <w:rsid w:val="00EF0888"/>
    <w:rsid w:val="00EF2D06"/>
    <w:rsid w:val="00F261FF"/>
    <w:rsid w:val="00F426E5"/>
    <w:rsid w:val="00F430DB"/>
    <w:rsid w:val="00F830B0"/>
    <w:rsid w:val="00F946DF"/>
    <w:rsid w:val="00F967AF"/>
    <w:rsid w:val="00FA10C3"/>
    <w:rsid w:val="00FC7387"/>
    <w:rsid w:val="21003C79"/>
    <w:rsid w:val="2BBA988F"/>
    <w:rsid w:val="310853AA"/>
    <w:rsid w:val="3F8A7103"/>
    <w:rsid w:val="6260465F"/>
    <w:rsid w:val="7B0A7851"/>
    <w:rsid w:val="7E7F3275"/>
    <w:rsid w:val="7FEFA6B3"/>
    <w:rsid w:val="FED78126"/>
    <w:rsid w:val="FFBE6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9"/>
    <w:qFormat/>
    <w:uiPriority w:val="0"/>
    <w:pPr>
      <w:keepNext/>
      <w:jc w:val="center"/>
      <w:outlineLvl w:val="0"/>
    </w:pPr>
    <w:rPr>
      <w:rFonts w:eastAsia="黑体"/>
      <w:b/>
      <w:sz w:val="30"/>
      <w:szCs w:val="20"/>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3"/>
    <w:unhideWhenUsed/>
    <w:qFormat/>
    <w:uiPriority w:val="99"/>
    <w:rPr>
      <w:rFonts w:ascii="Microsoft YaHei UI" w:eastAsia="Microsoft YaHei UI"/>
      <w:sz w:val="18"/>
      <w:szCs w:val="18"/>
    </w:rPr>
  </w:style>
  <w:style w:type="paragraph" w:styleId="4">
    <w:name w:val="footer"/>
    <w:basedOn w:val="1"/>
    <w:link w:val="10"/>
    <w:qFormat/>
    <w:uiPriority w:val="0"/>
    <w:pPr>
      <w:tabs>
        <w:tab w:val="center" w:pos="4153"/>
        <w:tab w:val="right" w:pos="8306"/>
      </w:tabs>
      <w:snapToGrid w:val="0"/>
      <w:jc w:val="left"/>
    </w:pPr>
    <w:rPr>
      <w:rFonts w:asciiTheme="minorHAnsi" w:hAnsiTheme="minorHAnsi" w:cstheme="minorBidi"/>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character" w:customStyle="1" w:styleId="9">
    <w:name w:val="标题 1 字符"/>
    <w:basedOn w:val="7"/>
    <w:link w:val="2"/>
    <w:qFormat/>
    <w:uiPriority w:val="0"/>
    <w:rPr>
      <w:rFonts w:ascii="Calibri" w:hAnsi="Calibri" w:eastAsia="黑体" w:cs="Times New Roman"/>
      <w:b/>
      <w:sz w:val="30"/>
      <w:szCs w:val="20"/>
    </w:rPr>
  </w:style>
  <w:style w:type="character" w:customStyle="1" w:styleId="10">
    <w:name w:val="页脚 字符"/>
    <w:link w:val="4"/>
    <w:qFormat/>
    <w:uiPriority w:val="0"/>
    <w:rPr>
      <w:rFonts w:eastAsia="宋体"/>
      <w:sz w:val="18"/>
      <w:szCs w:val="18"/>
    </w:rPr>
  </w:style>
  <w:style w:type="paragraph" w:customStyle="1" w:styleId="11">
    <w:name w:val="_Style 10"/>
    <w:basedOn w:val="3"/>
    <w:qFormat/>
    <w:uiPriority w:val="0"/>
    <w:pPr>
      <w:shd w:val="clear" w:color="auto" w:fill="000080"/>
      <w:jc w:val="left"/>
    </w:pPr>
    <w:rPr>
      <w:rFonts w:ascii="Tahoma" w:hAnsi="Tahoma" w:eastAsia="宋体"/>
      <w:sz w:val="24"/>
      <w:szCs w:val="28"/>
    </w:rPr>
  </w:style>
  <w:style w:type="character" w:customStyle="1" w:styleId="12">
    <w:name w:val="页脚 Char1"/>
    <w:basedOn w:val="7"/>
    <w:semiHidden/>
    <w:qFormat/>
    <w:uiPriority w:val="99"/>
    <w:rPr>
      <w:rFonts w:ascii="Calibri" w:hAnsi="Calibri" w:eastAsia="宋体" w:cs="Times New Roman"/>
      <w:sz w:val="18"/>
      <w:szCs w:val="18"/>
    </w:rPr>
  </w:style>
  <w:style w:type="character" w:customStyle="1" w:styleId="13">
    <w:name w:val="文档结构图 字符"/>
    <w:basedOn w:val="7"/>
    <w:link w:val="3"/>
    <w:semiHidden/>
    <w:qFormat/>
    <w:uiPriority w:val="99"/>
    <w:rPr>
      <w:rFonts w:ascii="Microsoft YaHei UI" w:hAnsi="Calibri" w:eastAsia="Microsoft YaHei UI" w:cs="Times New Roman"/>
      <w:sz w:val="18"/>
      <w:szCs w:val="18"/>
    </w:rPr>
  </w:style>
  <w:style w:type="paragraph" w:customStyle="1" w:styleId="14">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shd w:val="clear" w:color="auto" w:fill="000080"/>
      <w:jc w:val="left"/>
    </w:pPr>
    <w:rPr>
      <w:rFonts w:ascii="Tahoma" w:hAnsi="Tahoma" w:eastAsia="宋体"/>
      <w:sz w:val="24"/>
      <w:szCs w:val="28"/>
    </w:rPr>
  </w:style>
  <w:style w:type="paragraph" w:customStyle="1" w:styleId="15">
    <w:name w:val="修订1"/>
    <w:hidden/>
    <w:semiHidden/>
    <w:qFormat/>
    <w:uiPriority w:val="99"/>
    <w:rPr>
      <w:rFonts w:ascii="Calibri" w:hAnsi="Calibri" w:eastAsia="宋体" w:cs="Times New Roman"/>
      <w:kern w:val="2"/>
      <w:sz w:val="21"/>
      <w:szCs w:val="24"/>
      <w:lang w:val="en-US" w:eastAsia="zh-CN" w:bidi="ar-SA"/>
    </w:rPr>
  </w:style>
  <w:style w:type="character" w:customStyle="1" w:styleId="16">
    <w:name w:val="页眉 字符"/>
    <w:basedOn w:val="7"/>
    <w:link w:val="5"/>
    <w:qFormat/>
    <w:uiPriority w:val="99"/>
    <w:rPr>
      <w:rFonts w:ascii="Calibri" w:hAnsi="Calibri" w:eastAsia="宋体" w:cs="Times New Roman"/>
      <w:sz w:val="18"/>
      <w:szCs w:val="18"/>
    </w:rPr>
  </w:style>
  <w:style w:type="paragraph" w:customStyle="1" w:styleId="17">
    <w:name w:val="修订2"/>
    <w:hidden/>
    <w:semiHidden/>
    <w:qFormat/>
    <w:uiPriority w:val="99"/>
    <w:rPr>
      <w:rFonts w:ascii="Calibri" w:hAnsi="Calibri" w:eastAsia="宋体" w:cs="Times New Roman"/>
      <w:kern w:val="2"/>
      <w:sz w:val="21"/>
      <w:szCs w:val="24"/>
      <w:lang w:val="en-US" w:eastAsia="zh-CN" w:bidi="ar-SA"/>
    </w:rPr>
  </w:style>
  <w:style w:type="paragraph" w:customStyle="1" w:styleId="18">
    <w:name w:val="Revision"/>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702</Words>
  <Characters>4006</Characters>
  <Lines>33</Lines>
  <Paragraphs>9</Paragraphs>
  <TotalTime>0</TotalTime>
  <ScaleCrop>false</ScaleCrop>
  <LinksUpToDate>false</LinksUpToDate>
  <CharactersWithSpaces>4699</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2022-06-23T00:37:00Z</dcterms:created>
  <dc:creator>刘骁 （总行风险管理部）</dc:creator>
  <cp:lastModifiedBy>王雅洁</cp:lastModifiedBy>
  <dcterms:modified xsi:type="dcterms:W3CDTF">2024-12-13T10:30:58Z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7A4E0D308959476FA1AFBFDED413D1E3_13</vt:lpwstr>
  </property>
</Properties>
</file>