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imes New Roman" w:hAnsi="Times New Roman"/>
        </w:rPr>
      </w:pPr>
      <w:bookmarkStart w:id="0" w:name="_Toc379555453"/>
      <w:bookmarkStart w:id="1" w:name="_Toc349141682"/>
      <w:bookmarkStart w:id="2" w:name="_Toc352575131"/>
      <w:r>
        <w:rPr>
          <w:rFonts w:hint="eastAsia" w:ascii="Times New Roman" w:hAnsi="Times New Roman"/>
        </w:rPr>
        <w:t>G4C_Ⅲ 市场风险内部模型法资本要求情况表(新规)填报说明</w:t>
      </w:r>
      <w:bookmarkEnd w:id="0"/>
      <w:bookmarkEnd w:id="1"/>
      <w:bookmarkEnd w:id="2"/>
    </w:p>
    <w:p/>
    <w:p>
      <w:pPr>
        <w:spacing w:line="440" w:lineRule="exact"/>
        <w:rPr>
          <w:b/>
          <w:szCs w:val="21"/>
        </w:rPr>
      </w:pPr>
      <w:r>
        <w:rPr>
          <w:rFonts w:hint="eastAsia"/>
          <w:b/>
          <w:szCs w:val="21"/>
        </w:rPr>
        <w:t>第一部分：引言</w:t>
      </w:r>
    </w:p>
    <w:p>
      <w:pPr>
        <w:spacing w:line="440" w:lineRule="exact"/>
        <w:ind w:firstLine="539" w:firstLineChars="257"/>
        <w:rPr>
          <w:szCs w:val="21"/>
        </w:rPr>
      </w:pPr>
      <w:r>
        <w:rPr>
          <w:rFonts w:hint="eastAsia"/>
          <w:szCs w:val="21"/>
        </w:rPr>
        <w:t>本表依据《商业银行资本管理办法》（以下简称《办法》）制定。本表反映填报机构内部模型法下的市场风险资本要求情况。</w:t>
      </w:r>
    </w:p>
    <w:p>
      <w:pPr>
        <w:spacing w:line="440" w:lineRule="exact"/>
        <w:rPr>
          <w:b/>
          <w:szCs w:val="21"/>
        </w:rPr>
      </w:pPr>
      <w:r>
        <w:rPr>
          <w:rFonts w:hint="eastAsia"/>
          <w:b/>
          <w:szCs w:val="21"/>
        </w:rPr>
        <w:t>第二部分：一般说明</w:t>
      </w:r>
    </w:p>
    <w:p>
      <w:pPr>
        <w:spacing w:line="440" w:lineRule="exact"/>
        <w:ind w:firstLine="539" w:firstLineChars="257"/>
        <w:rPr>
          <w:szCs w:val="21"/>
        </w:rPr>
      </w:pPr>
      <w:r>
        <w:rPr>
          <w:rFonts w:hint="eastAsia"/>
          <w:szCs w:val="21"/>
        </w:rPr>
        <w:t>1. 报表名称：市场风险内部模型法资本要求情况表。</w:t>
      </w:r>
    </w:p>
    <w:p>
      <w:pPr>
        <w:spacing w:line="440" w:lineRule="exact"/>
        <w:ind w:firstLine="539" w:firstLineChars="257"/>
        <w:rPr>
          <w:szCs w:val="21"/>
          <w:u w:val="single"/>
        </w:rPr>
      </w:pPr>
      <w:r>
        <w:rPr>
          <w:rFonts w:hint="eastAsia"/>
          <w:szCs w:val="21"/>
        </w:rPr>
        <w:t>2. 报表编码：</w:t>
      </w:r>
      <w:r>
        <w:rPr>
          <w:rFonts w:hint="eastAsia"/>
          <w:szCs w:val="21"/>
          <w:lang w:eastAsia="zh-CN"/>
        </w:rPr>
        <w:t>金</w:t>
      </w:r>
      <w:bookmarkStart w:id="4" w:name="_GoBack"/>
      <w:bookmarkEnd w:id="4"/>
      <w:r>
        <w:rPr>
          <w:rFonts w:hint="eastAsia"/>
          <w:color w:val="000000"/>
          <w:szCs w:val="21"/>
        </w:rPr>
        <w:t>监统</w:t>
      </w:r>
      <w:r>
        <w:rPr>
          <w:color w:val="000000"/>
          <w:szCs w:val="21"/>
        </w:rPr>
        <w:t>0052</w:t>
      </w:r>
      <w:r>
        <w:rPr>
          <w:rFonts w:hint="eastAsia"/>
          <w:color w:val="000000"/>
          <w:szCs w:val="21"/>
        </w:rPr>
        <w:t>号。</w:t>
      </w:r>
    </w:p>
    <w:p>
      <w:pPr>
        <w:spacing w:line="440" w:lineRule="exact"/>
        <w:ind w:firstLine="539" w:firstLineChars="257"/>
        <w:rPr>
          <w:szCs w:val="21"/>
        </w:rPr>
      </w:pPr>
      <w:r>
        <w:rPr>
          <w:rFonts w:hint="eastAsia"/>
          <w:szCs w:val="21"/>
        </w:rPr>
        <w:t>3. 填报机构：经国家金融监督管理总局或其派出机构验收通过实施市场风险内部模型法的</w:t>
      </w:r>
      <w:r>
        <w:rPr>
          <w:rFonts w:hint="eastAsia" w:ascii="宋体" w:hAnsi="宋体"/>
          <w:szCs w:val="21"/>
        </w:rPr>
        <w:t>商业银行。</w:t>
      </w:r>
    </w:p>
    <w:p>
      <w:pPr>
        <w:spacing w:line="440" w:lineRule="exact"/>
        <w:ind w:firstLine="539" w:firstLineChars="257"/>
        <w:rPr>
          <w:szCs w:val="21"/>
        </w:rPr>
      </w:pPr>
      <w:r>
        <w:rPr>
          <w:rFonts w:hint="eastAsia"/>
          <w:szCs w:val="21"/>
        </w:rPr>
        <w:t>4. 报送口径、频度及时间：</w:t>
      </w:r>
      <w:r>
        <w:rPr>
          <w:rFonts w:hint="eastAsia" w:ascii="宋体" w:hAnsi="宋体"/>
          <w:szCs w:val="21"/>
        </w:rPr>
        <w:t>法人汇总数据（月</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月</w:t>
      </w:r>
      <w:r>
        <w:rPr>
          <w:rFonts w:ascii="宋体" w:hAnsi="宋体"/>
          <w:szCs w:val="21"/>
        </w:rPr>
        <w:t>后</w:t>
      </w:r>
      <w:r>
        <w:rPr>
          <w:rFonts w:hint="eastAsia" w:ascii="宋体" w:hAnsi="宋体"/>
          <w:szCs w:val="21"/>
          <w:lang w:val="en-US" w:eastAsia="zh-CN"/>
        </w:rPr>
        <w:t>13</w:t>
      </w:r>
      <w:r>
        <w:rPr>
          <w:rFonts w:ascii="宋体" w:hAnsi="宋体"/>
          <w:szCs w:val="21"/>
        </w:rPr>
        <w:t>日</w:t>
      </w:r>
      <w:r>
        <w:rPr>
          <w:rFonts w:hint="eastAsia" w:ascii="宋体" w:hAnsi="宋体"/>
          <w:szCs w:val="21"/>
        </w:rPr>
        <w:t>内，合并报表数据（季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539" w:firstLineChars="257"/>
        <w:rPr>
          <w:szCs w:val="21"/>
        </w:rPr>
      </w:pPr>
      <w:r>
        <w:rPr>
          <w:rFonts w:hint="eastAsia"/>
          <w:szCs w:val="21"/>
        </w:rPr>
        <w:t>5. 报送方式：</w:t>
      </w:r>
      <w:r>
        <w:rPr>
          <w:rFonts w:ascii="宋体" w:hAnsi="宋体"/>
          <w:szCs w:val="21"/>
        </w:rPr>
        <w:t>以电子报表形式报送国家金融监督管理总局。</w:t>
      </w:r>
    </w:p>
    <w:p>
      <w:pPr>
        <w:spacing w:line="440" w:lineRule="exact"/>
        <w:ind w:firstLine="539" w:firstLineChars="257"/>
        <w:rPr>
          <w:rFonts w:ascii="宋体" w:hAnsi="宋体"/>
          <w:szCs w:val="21"/>
        </w:rPr>
      </w:pPr>
      <w:r>
        <w:rPr>
          <w:rFonts w:hint="eastAsia"/>
          <w:szCs w:val="21"/>
        </w:rPr>
        <w:t>6. 数据单位：</w:t>
      </w:r>
      <w:r>
        <w:rPr>
          <w:rFonts w:ascii="宋体" w:hAnsi="宋体"/>
          <w:szCs w:val="21"/>
        </w:rPr>
        <w:t>万元。</w:t>
      </w:r>
    </w:p>
    <w:p>
      <w:pPr>
        <w:spacing w:line="440" w:lineRule="exact"/>
        <w:ind w:firstLine="539" w:firstLineChars="257"/>
        <w:rPr>
          <w:szCs w:val="21"/>
        </w:rPr>
      </w:pPr>
      <w:r>
        <w:rPr>
          <w:rFonts w:hint="eastAsia"/>
          <w:szCs w:val="21"/>
        </w:rPr>
        <w:t>7. 四舍五入要求：</w:t>
      </w:r>
      <w:r>
        <w:rPr>
          <w:rFonts w:ascii="宋体" w:hAnsi="宋体"/>
          <w:szCs w:val="21"/>
        </w:rPr>
        <w:t>金额保留</w:t>
      </w:r>
      <w:r>
        <w:rPr>
          <w:rFonts w:hint="eastAsia" w:ascii="宋体" w:hAnsi="宋体"/>
          <w:szCs w:val="21"/>
        </w:rPr>
        <w:t>两位小数</w:t>
      </w:r>
      <w:r>
        <w:rPr>
          <w:rFonts w:ascii="宋体" w:hAnsi="宋体"/>
          <w:szCs w:val="21"/>
        </w:rPr>
        <w:t>。</w:t>
      </w:r>
    </w:p>
    <w:p>
      <w:pPr>
        <w:spacing w:line="440" w:lineRule="exact"/>
        <w:ind w:firstLine="525" w:firstLineChars="250"/>
        <w:rPr>
          <w:rFonts w:ascii="宋体" w:hAnsi="宋体"/>
          <w:szCs w:val="21"/>
        </w:rPr>
      </w:pPr>
      <w:r>
        <w:rPr>
          <w:rFonts w:hint="eastAsia"/>
          <w:szCs w:val="21"/>
        </w:rPr>
        <w:t>8. 填报货币：</w:t>
      </w:r>
      <w:r>
        <w:rPr>
          <w:rFonts w:hint="eastAsia" w:ascii="宋体" w:hAnsi="宋体"/>
          <w:szCs w:val="21"/>
        </w:rPr>
        <w:t>本表按本外币合计人民币填报。银行业金融机构将外币折算为人民币时，应按照报告期末最后一天国家外汇管理局公布的人民币兑美元、欧元、日元和港币的基准汇价进行折算。</w:t>
      </w:r>
      <w:r>
        <w:rPr>
          <w:rFonts w:ascii="宋体" w:hAnsi="宋体"/>
          <w:szCs w:val="21"/>
        </w:rPr>
        <w:t>美元、</w:t>
      </w:r>
      <w:r>
        <w:rPr>
          <w:rFonts w:hint="eastAsia" w:ascii="宋体" w:hAnsi="宋体"/>
          <w:szCs w:val="21"/>
        </w:rPr>
        <w:t>欧元、</w:t>
      </w:r>
      <w:r>
        <w:rPr>
          <w:rFonts w:ascii="宋体" w:hAnsi="宋体"/>
          <w:szCs w:val="21"/>
        </w:rPr>
        <w:t>日元</w:t>
      </w:r>
      <w:r>
        <w:rPr>
          <w:rFonts w:hint="eastAsia" w:ascii="宋体" w:hAnsi="宋体"/>
          <w:szCs w:val="21"/>
        </w:rPr>
        <w:t>和</w:t>
      </w:r>
      <w:r>
        <w:rPr>
          <w:rFonts w:ascii="宋体" w:hAnsi="宋体"/>
          <w:szCs w:val="21"/>
        </w:rPr>
        <w:t>港币等</w:t>
      </w:r>
      <w:r>
        <w:rPr>
          <w:rFonts w:hint="eastAsia" w:ascii="宋体" w:hAnsi="宋体"/>
          <w:szCs w:val="21"/>
        </w:rPr>
        <w:t>四种主要货币</w:t>
      </w:r>
      <w:r>
        <w:rPr>
          <w:rFonts w:ascii="宋体" w:hAnsi="宋体"/>
          <w:szCs w:val="21"/>
        </w:rPr>
        <w:t>以外的其他货币对人民币的</w:t>
      </w:r>
      <w:r>
        <w:rPr>
          <w:rFonts w:hint="eastAsia" w:ascii="宋体" w:hAnsi="宋体"/>
          <w:szCs w:val="21"/>
        </w:rPr>
        <w:t>折算</w:t>
      </w:r>
      <w:r>
        <w:rPr>
          <w:rFonts w:ascii="宋体" w:hAnsi="宋体"/>
          <w:szCs w:val="21"/>
        </w:rPr>
        <w:t>汇率，</w:t>
      </w:r>
      <w:r>
        <w:rPr>
          <w:rFonts w:hint="eastAsia" w:ascii="宋体" w:hAnsi="宋体"/>
          <w:szCs w:val="21"/>
        </w:rPr>
        <w:t>以报告期末最后一天</w:t>
      </w:r>
      <w:r>
        <w:rPr>
          <w:rFonts w:ascii="宋体" w:hAnsi="宋体"/>
          <w:szCs w:val="21"/>
        </w:rPr>
        <w:t>美元对人民币的基准汇率与</w:t>
      </w:r>
      <w:r>
        <w:rPr>
          <w:rFonts w:hint="eastAsia" w:ascii="宋体" w:hAnsi="宋体"/>
          <w:szCs w:val="21"/>
        </w:rPr>
        <w:t>同一天</w:t>
      </w:r>
      <w:r>
        <w:rPr>
          <w:rFonts w:ascii="宋体" w:hAnsi="宋体"/>
          <w:szCs w:val="21"/>
        </w:rPr>
        <w:t>上午9时国际外汇市场</w:t>
      </w:r>
      <w:r>
        <w:rPr>
          <w:rFonts w:hint="eastAsia" w:ascii="宋体" w:hAnsi="宋体"/>
          <w:szCs w:val="21"/>
        </w:rPr>
        <w:t>其他货币</w:t>
      </w:r>
      <w:r>
        <w:rPr>
          <w:rFonts w:ascii="宋体" w:hAnsi="宋体"/>
          <w:szCs w:val="21"/>
        </w:rPr>
        <w:t>兑美元汇率套算确定。</w:t>
      </w:r>
    </w:p>
    <w:p>
      <w:pPr>
        <w:spacing w:line="440" w:lineRule="exact"/>
        <w:rPr>
          <w:szCs w:val="21"/>
        </w:rPr>
      </w:pPr>
      <w:r>
        <w:rPr>
          <w:rFonts w:hint="eastAsia"/>
          <w:b/>
          <w:szCs w:val="21"/>
        </w:rPr>
        <w:t>第三部分：具体说明</w:t>
      </w:r>
    </w:p>
    <w:p>
      <w:pPr>
        <w:spacing w:line="440" w:lineRule="exact"/>
        <w:ind w:firstLine="472" w:firstLineChars="225"/>
        <w:rPr>
          <w:szCs w:val="21"/>
        </w:rPr>
      </w:pPr>
      <w:r>
        <w:rPr>
          <w:rFonts w:hint="eastAsia"/>
          <w:szCs w:val="21"/>
        </w:rPr>
        <w:t>本表反映填报机构市场风险资本要求总体情况。填报机构采用内部模型法，应当符合《办法》附件15的规定，并经国家金融监督管理总局或其派出机构验收通过。填报机构采用内部模型法的，应同时按标准法计算和报送所有交易台的资本要求。填报机构市场风险资本要求应覆盖交易账簿中的违约风险、一般利率风险、信用利差风险、股票风险，以及全账簿汇率风险和商品风险。填报机构可以不对结构性外汇头寸、资本扣除项对应的外汇头寸计算汇率风险资本要求。</w:t>
      </w:r>
    </w:p>
    <w:p>
      <w:pPr>
        <w:spacing w:line="440" w:lineRule="exact"/>
        <w:ind w:firstLine="472" w:firstLineChars="225"/>
        <w:rPr>
          <w:szCs w:val="21"/>
        </w:rPr>
      </w:pPr>
      <w:r>
        <w:rPr>
          <w:rFonts w:hint="eastAsia"/>
          <w:szCs w:val="21"/>
        </w:rPr>
        <w:t>填报机构应根据《办法》附件13 划分交易账簿和银行账簿。其中，附件1</w:t>
      </w:r>
      <w:r>
        <w:rPr>
          <w:szCs w:val="21"/>
        </w:rPr>
        <w:t>3</w:t>
      </w:r>
      <w:r>
        <w:rPr>
          <w:rFonts w:hint="eastAsia"/>
          <w:szCs w:val="21"/>
        </w:rPr>
        <w:t>第一部分（三）中提到的“会产生银行账簿信用净空头头寸或股权净空头头寸的金融工具”，包括股权价格下跌或者债券发行人信用利差扩大，导致银行账簿的账面价值增加的情形。例如银行使用CDS对冲银行账簿贷款的风险时，可能因过度对冲导致银行账簿产生信用净空头头寸。</w:t>
      </w:r>
    </w:p>
    <w:p>
      <w:pPr>
        <w:spacing w:line="440" w:lineRule="exact"/>
        <w:ind w:firstLine="472" w:firstLineChars="225"/>
        <w:rPr>
          <w:szCs w:val="21"/>
        </w:rPr>
      </w:pPr>
      <w:r>
        <w:rPr>
          <w:rFonts w:hint="eastAsia"/>
          <w:szCs w:val="21"/>
          <w:highlight w:val="none"/>
        </w:rPr>
        <w:t>商业银行应为结构性外汇头寸制定风险管理政策并报送国家金融监督管理总局或其派出机构，书面记录不计提资本要求的头寸金额以备审查。</w:t>
      </w:r>
      <w:r>
        <w:rPr>
          <w:rFonts w:hint="eastAsia"/>
          <w:szCs w:val="21"/>
        </w:rPr>
        <w:t>结构性外汇头寸存续期内资本要求的处理需保持一致，扣除期限至少为6个月。</w:t>
      </w:r>
    </w:p>
    <w:p>
      <w:pPr>
        <w:spacing w:line="440" w:lineRule="exact"/>
        <w:ind w:firstLine="472" w:firstLineChars="225"/>
        <w:rPr>
          <w:szCs w:val="21"/>
        </w:rPr>
      </w:pPr>
      <w:r>
        <w:rPr>
          <w:rFonts w:hint="eastAsia"/>
          <w:szCs w:val="21"/>
        </w:rPr>
        <w:t>结构性外汇头寸可来自以下事项：</w:t>
      </w:r>
    </w:p>
    <w:p>
      <w:pPr>
        <w:spacing w:line="440" w:lineRule="exact"/>
        <w:ind w:firstLine="472" w:firstLineChars="225"/>
        <w:rPr>
          <w:szCs w:val="21"/>
        </w:rPr>
      </w:pPr>
      <w:r>
        <w:rPr>
          <w:rFonts w:hint="eastAsia"/>
          <w:szCs w:val="21"/>
        </w:rPr>
        <w:t>（1）对以外币计量的非并表关联企业的投资；</w:t>
      </w:r>
    </w:p>
    <w:p>
      <w:pPr>
        <w:spacing w:line="440" w:lineRule="exact"/>
        <w:ind w:firstLine="472" w:firstLineChars="225"/>
        <w:rPr>
          <w:szCs w:val="21"/>
        </w:rPr>
      </w:pPr>
      <w:r>
        <w:rPr>
          <w:rFonts w:hint="eastAsia"/>
          <w:szCs w:val="21"/>
        </w:rPr>
        <w:t>（2）对以外币计量的并表子公司或分支机构的投资；</w:t>
      </w:r>
    </w:p>
    <w:p>
      <w:pPr>
        <w:spacing w:line="440" w:lineRule="exact"/>
        <w:ind w:firstLine="472" w:firstLineChars="225"/>
        <w:rPr>
          <w:szCs w:val="21"/>
        </w:rPr>
      </w:pPr>
      <w:r>
        <w:rPr>
          <w:rFonts w:hint="eastAsia"/>
          <w:szCs w:val="21"/>
        </w:rPr>
        <w:t>（3）其他符合结构性外汇头寸定义的外汇头寸。</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对上述第（3）项，法人口径下，可包括境外分支机构因经营积累形成的权益项目；并表口径下，可包括境外附属公司经营形成的相关权益项目，如外币留存收益。上述权益主要用于开展经营，与资产负债匹配，可起到保护资本充足率的作用。</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对于商业银行吸收的外币资本金（含附属机构发行的外币资本工具），如能够证明其起到了保护资本充足率不受汇率变化影响的作用，可向国家金融监督管理总局或其派出机构申请，经认可后，商业银行可将该部分头寸作为结构性外汇头寸予以扣除。</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商业银行计入结构性外汇头寸的金额应与对应的实际外汇头寸相匹配。如法人口径下，商业银行针对采用成本法核算的外币长期股权投资，不得将该投资对应的附属公司外币留存收益作为结构性外汇头寸予以扣除。这是因为附属公司外币留存收益体现在附属公司的资产负债表，而不体现在母公司的资产负债表，不计入母公司法人口径下的实际外汇头寸。</w:t>
      </w:r>
    </w:p>
    <w:p>
      <w:pPr>
        <w:spacing w:line="440" w:lineRule="exact"/>
        <w:ind w:firstLine="472" w:firstLineChars="225"/>
        <w:rPr>
          <w:rFonts w:hint="eastAsia"/>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此外，对于固定资产和物业、无形资产等资产端项目，不应作为结构性外汇头寸扣除。</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szCs w:val="21"/>
          <w:highlight w:val="none"/>
        </w:rPr>
        <w:t>对于交易账簿下回购、债券借贷和拆借，填报机构应计提上述工具的一般利率风险、汇率风险（若有）、商品风险（若有）的一般风险的资本要求，无需计提信用利差风险和违约风险资本要求。同时，应参照附件</w:t>
      </w:r>
      <w:r>
        <w:rPr>
          <w:szCs w:val="21"/>
          <w:highlight w:val="none"/>
        </w:rPr>
        <w:t>9</w:t>
      </w:r>
      <w:r>
        <w:rPr>
          <w:rFonts w:hint="eastAsia"/>
          <w:szCs w:val="21"/>
          <w:highlight w:val="none"/>
        </w:rPr>
        <w:t>交易对手信用风险框架下交易账簿证券融资交易的计量方法，计量交易对手的信用风险</w:t>
      </w:r>
      <w:r>
        <w:rPr>
          <w:szCs w:val="21"/>
          <w:highlight w:val="none"/>
        </w:rPr>
        <w:t>RWA</w:t>
      </w:r>
      <w:r>
        <w:rPr>
          <w:rFonts w:hint="eastAsia"/>
          <w:szCs w:val="21"/>
          <w:highlight w:val="none"/>
        </w:rPr>
        <w:t>，并填入交易对手信用风险模块相关报表。</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关于真实价格的分组，过去12个月内已确定的真实价格观测值应持续被计入首次分配的分组中。但当银行不再需要为某个给定分组的信用利差风险因子建模时，银行可以将该真实价格观测值重新分配到相邻较近的分组中，例如，一个债券原始期限为4年，剩余期限3.3年，首次分配至3.5-7.5年的分组中，如银行无需对3.5-7.5年的分组信用利差风险因子建模，则可将其分配到1.5-3.5年的分组中。一个真实价格观测值只能被统计在一个风险因子合格性检验的分组中。</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对于附件1</w:t>
      </w:r>
      <w:r>
        <w:rPr>
          <w:color w:val="0D0D0D" w:themeColor="text1" w:themeTint="F2"/>
          <w:szCs w:val="21"/>
          <w14:textFill>
            <w14:solidFill>
              <w14:schemeClr w14:val="tx1">
                <w14:lumMod w14:val="95000"/>
                <w14:lumOff w14:val="5000"/>
              </w14:schemeClr>
            </w14:solidFill>
          </w14:textFill>
        </w:rPr>
        <w:t>5</w:t>
      </w:r>
      <w:r>
        <w:rPr>
          <w:rFonts w:hint="eastAsia"/>
          <w:color w:val="0D0D0D" w:themeColor="text1" w:themeTint="F2"/>
          <w:szCs w:val="21"/>
          <w14:textFill>
            <w14:solidFill>
              <w14:schemeClr w14:val="tx1">
                <w14:lumMod w14:val="95000"/>
                <w14:lumOff w14:val="5000"/>
              </w14:schemeClr>
            </w14:solidFill>
          </w14:textFill>
        </w:rPr>
        <w:t>第四部分中不同风险类别对应的流动性期限，如果工具的剩余期限短于 附件1</w:t>
      </w:r>
      <w:r>
        <w:rPr>
          <w:color w:val="0D0D0D" w:themeColor="text1" w:themeTint="F2"/>
          <w:szCs w:val="21"/>
          <w14:textFill>
            <w14:solidFill>
              <w14:schemeClr w14:val="tx1">
                <w14:lumMod w14:val="95000"/>
                <w14:lumOff w14:val="5000"/>
              </w14:schemeClr>
            </w14:solidFill>
          </w14:textFill>
        </w:rPr>
        <w:t>5</w:t>
      </w:r>
      <w:r>
        <w:rPr>
          <w:rFonts w:hint="eastAsia"/>
          <w:color w:val="0D0D0D" w:themeColor="text1" w:themeTint="F2"/>
          <w:szCs w:val="21"/>
          <w14:textFill>
            <w14:solidFill>
              <w14:schemeClr w14:val="tx1">
                <w14:lumMod w14:val="95000"/>
                <w14:lumOff w14:val="5000"/>
              </w14:schemeClr>
            </w14:solidFill>
          </w14:textFill>
        </w:rPr>
        <w:t>中表3规定的风险因子的相应流动性期限，则必须把下一个更长的流动性期限长度 (如10 天、 20 天、 40 天、 60天或 120 天的长度)与工具本身的到期期限相比较。 例如, 虽然利率波动率的流动性期限标准规定为 60 天, 但如果工具在 30 天内到期, 则该工具的利率波动率应适用 40 天的流动性期限。</w:t>
      </w:r>
    </w:p>
    <w:p>
      <w:pPr>
        <w:tabs>
          <w:tab w:val="left" w:pos="720"/>
        </w:tabs>
        <w:spacing w:line="440" w:lineRule="exact"/>
        <w:ind w:firstLine="472" w:firstLineChars="225"/>
        <w:rPr>
          <w:sz w:val="19"/>
          <w:szCs w:val="21"/>
        </w:rPr>
      </w:pPr>
      <w:r>
        <w:rPr>
          <w:rFonts w:ascii="宋体" w:hAnsi="宋体"/>
          <w:szCs w:val="21"/>
        </w:rPr>
        <w:t>[</w:t>
      </w:r>
      <w:r>
        <w:rPr>
          <w:rFonts w:hint="eastAsia" w:ascii="宋体" w:hAnsi="宋体"/>
          <w:szCs w:val="21"/>
        </w:rPr>
        <w:t>A预期尾部损失期末值</w:t>
      </w:r>
      <w:r>
        <w:rPr>
          <w:rFonts w:ascii="宋体" w:hAnsi="宋体"/>
          <w:szCs w:val="21"/>
        </w:rPr>
        <w:t>]</w:t>
      </w:r>
      <w:r>
        <w:rPr>
          <w:rFonts w:hint="eastAsia" w:ascii="宋体" w:hAnsi="宋体"/>
          <w:szCs w:val="21"/>
        </w:rPr>
        <w:t>：填列报告期末最后一个交易日的预期尾部损失。</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B最近60个交易日的平均值</w:t>
      </w:r>
      <w:r>
        <w:rPr>
          <w:rFonts w:ascii="宋体" w:hAnsi="宋体"/>
          <w:szCs w:val="21"/>
        </w:rPr>
        <w:t>]</w:t>
      </w:r>
      <w:r>
        <w:rPr>
          <w:rFonts w:hint="eastAsia" w:ascii="宋体" w:hAnsi="宋体"/>
          <w:szCs w:val="21"/>
        </w:rPr>
        <w:t>：填列</w:t>
      </w:r>
      <w:r>
        <w:rPr>
          <w:rFonts w:hint="eastAsia"/>
          <w:szCs w:val="21"/>
        </w:rPr>
        <w:t>报告期末最近60个交易日的预期尾部损失的均值。</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C乘数因子</w:t>
      </w:r>
      <w:r>
        <w:rPr>
          <w:rFonts w:ascii="宋体" w:hAnsi="宋体"/>
          <w:szCs w:val="21"/>
        </w:rPr>
        <w:t>]</w:t>
      </w:r>
      <w:r>
        <w:rPr>
          <w:rFonts w:hint="eastAsia" w:ascii="宋体" w:hAnsi="宋体"/>
          <w:szCs w:val="21"/>
        </w:rPr>
        <w:t>：填列根据填报机构模型返回检验情况确定的乘数因子（考虑监管调整）。为返回检验乘数因子，等于固定因子与附加因子之和，其中固定因子为1.5，附加因子包括定性附加因子和返回检验附加因子。返回检验附加因子范围在0-0.5，根据全行层面返回检验的突破次数决定。</w:t>
      </w:r>
      <w:r>
        <w:rPr>
          <w:rFonts w:hint="eastAsia" w:ascii="宋体" w:hAnsi="宋体"/>
          <w:color w:val="0D0D0D" w:themeColor="text1" w:themeTint="F2"/>
          <w:szCs w:val="21"/>
          <w14:textFill>
            <w14:solidFill>
              <w14:schemeClr w14:val="tx1">
                <w14:lumMod w14:val="95000"/>
                <w14:lumOff w14:val="5000"/>
              </w14:schemeClr>
            </w14:solidFill>
          </w14:textFill>
        </w:rPr>
        <w:t>国家金融监督管理总局</w:t>
      </w:r>
      <w:r>
        <w:rPr>
          <w:rFonts w:hint="eastAsia" w:ascii="宋体" w:hAnsi="宋体"/>
          <w:szCs w:val="21"/>
        </w:rPr>
        <w:t>或其派出机构可根据填报机构内部模型定性要求的执行情况设定定性附加因子，最小值即初始值为0。下表中为返回检验突破次数与资本附加因子对应情况表：</w:t>
      </w:r>
    </w:p>
    <w:tbl>
      <w:tblPr>
        <w:tblStyle w:val="29"/>
        <w:tblW w:w="8609" w:type="dxa"/>
        <w:jc w:val="center"/>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0"/>
        <w:gridCol w:w="4178"/>
        <w:gridCol w:w="3351"/>
      </w:tblGrid>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tblHeader/>
          <w:jc w:val="center"/>
        </w:trPr>
        <w:tc>
          <w:tcPr>
            <w:tcW w:w="1080" w:type="dxa"/>
            <w:vAlign w:val="center"/>
          </w:tcPr>
          <w:p>
            <w:pPr>
              <w:jc w:val="center"/>
              <w:rPr>
                <w:rFonts w:ascii="宋体" w:hAnsi="宋体"/>
                <w:b/>
                <w:color w:val="000000"/>
                <w:szCs w:val="22"/>
              </w:rPr>
            </w:pPr>
            <w:r>
              <w:rPr>
                <w:rFonts w:hint="eastAsia" w:ascii="宋体" w:hAnsi="宋体"/>
                <w:b/>
                <w:color w:val="000000"/>
                <w:szCs w:val="22"/>
              </w:rPr>
              <w:t>分区</w:t>
            </w:r>
          </w:p>
        </w:tc>
        <w:tc>
          <w:tcPr>
            <w:tcW w:w="4178" w:type="dxa"/>
            <w:vAlign w:val="center"/>
          </w:tcPr>
          <w:p>
            <w:pPr>
              <w:jc w:val="center"/>
              <w:rPr>
                <w:rFonts w:ascii="宋体" w:hAnsi="宋体"/>
                <w:b/>
                <w:color w:val="000000"/>
                <w:szCs w:val="22"/>
              </w:rPr>
            </w:pPr>
            <w:r>
              <w:rPr>
                <w:rFonts w:hint="eastAsia" w:ascii="宋体" w:hAnsi="宋体"/>
                <w:b/>
                <w:color w:val="000000"/>
                <w:szCs w:val="22"/>
              </w:rPr>
              <w:t>过去250个交易日的返回检验突破次数</w:t>
            </w:r>
          </w:p>
        </w:tc>
        <w:tc>
          <w:tcPr>
            <w:tcW w:w="3351" w:type="dxa"/>
            <w:vAlign w:val="center"/>
          </w:tcPr>
          <w:p>
            <w:pPr>
              <w:jc w:val="center"/>
              <w:rPr>
                <w:rFonts w:ascii="宋体" w:hAnsi="宋体"/>
                <w:b/>
                <w:color w:val="000000"/>
                <w:szCs w:val="22"/>
              </w:rPr>
            </w:pPr>
            <w:bookmarkStart w:id="3" w:name="_Hlk49267385"/>
            <w:r>
              <w:rPr>
                <w:rFonts w:hint="eastAsia" w:ascii="宋体" w:hAnsi="宋体"/>
                <w:b/>
                <w:color w:val="000000"/>
                <w:szCs w:val="22"/>
              </w:rPr>
              <w:t>返回检验乘数因子</w:t>
            </w:r>
          </w:p>
          <w:bookmarkEnd w:id="3"/>
          <w:p>
            <w:pPr>
              <w:jc w:val="left"/>
              <w:rPr>
                <w:rFonts w:ascii="宋体" w:hAnsi="宋体"/>
                <w:b/>
                <w:color w:val="000000"/>
                <w:szCs w:val="22"/>
              </w:rPr>
            </w:pPr>
            <w:r>
              <w:rPr>
                <w:rFonts w:hint="eastAsia" w:ascii="宋体" w:hAnsi="宋体"/>
                <w:b/>
                <w:color w:val="000000"/>
                <w:szCs w:val="22"/>
              </w:rPr>
              <w:t>（固定因子1.5+返回检验附加因子0-0.5）</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jc w:val="center"/>
        </w:trPr>
        <w:tc>
          <w:tcPr>
            <w:tcW w:w="1080" w:type="dxa"/>
            <w:vAlign w:val="center"/>
          </w:tcPr>
          <w:p>
            <w:pPr>
              <w:spacing w:line="480" w:lineRule="exact"/>
              <w:jc w:val="center"/>
              <w:rPr>
                <w:rFonts w:ascii="宋体" w:hAnsi="宋体"/>
                <w:color w:val="000000"/>
                <w:szCs w:val="22"/>
              </w:rPr>
            </w:pPr>
            <w:r>
              <w:rPr>
                <w:rFonts w:hint="eastAsia" w:ascii="宋体" w:hAnsi="宋体"/>
                <w:color w:val="000000"/>
                <w:szCs w:val="22"/>
              </w:rPr>
              <w:t>绿区</w:t>
            </w:r>
          </w:p>
        </w:tc>
        <w:tc>
          <w:tcPr>
            <w:tcW w:w="4178" w:type="dxa"/>
            <w:vAlign w:val="center"/>
          </w:tcPr>
          <w:p>
            <w:pPr>
              <w:spacing w:line="480" w:lineRule="exact"/>
              <w:jc w:val="center"/>
              <w:rPr>
                <w:rFonts w:ascii="宋体" w:hAnsi="宋体"/>
                <w:color w:val="000000"/>
                <w:szCs w:val="22"/>
              </w:rPr>
            </w:pPr>
            <w:r>
              <w:rPr>
                <w:rFonts w:hint="eastAsia" w:ascii="宋体" w:hAnsi="宋体"/>
                <w:color w:val="000000"/>
                <w:szCs w:val="22"/>
              </w:rPr>
              <w:t>少于5次</w:t>
            </w:r>
          </w:p>
        </w:tc>
        <w:tc>
          <w:tcPr>
            <w:tcW w:w="3351" w:type="dxa"/>
            <w:vAlign w:val="center"/>
          </w:tcPr>
          <w:p>
            <w:pPr>
              <w:spacing w:line="480" w:lineRule="exact"/>
              <w:jc w:val="center"/>
              <w:rPr>
                <w:rFonts w:ascii="宋体" w:hAnsi="宋体"/>
                <w:color w:val="000000"/>
                <w:szCs w:val="22"/>
              </w:rPr>
            </w:pPr>
            <w:r>
              <w:rPr>
                <w:rFonts w:hint="eastAsia" w:ascii="宋体" w:hAnsi="宋体"/>
                <w:color w:val="000000"/>
                <w:szCs w:val="22"/>
              </w:rPr>
              <w:t>1.50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3" w:hRule="atLeast"/>
          <w:jc w:val="center"/>
        </w:trPr>
        <w:tc>
          <w:tcPr>
            <w:tcW w:w="1080" w:type="dxa"/>
            <w:vMerge w:val="restart"/>
            <w:vAlign w:val="center"/>
          </w:tcPr>
          <w:p>
            <w:pPr>
              <w:spacing w:line="480" w:lineRule="exact"/>
              <w:jc w:val="center"/>
              <w:rPr>
                <w:rFonts w:ascii="宋体" w:hAnsi="宋体"/>
                <w:color w:val="000000"/>
                <w:szCs w:val="22"/>
              </w:rPr>
            </w:pPr>
            <w:r>
              <w:rPr>
                <w:rFonts w:hint="eastAsia" w:ascii="宋体" w:hAnsi="宋体"/>
                <w:color w:val="000000"/>
                <w:szCs w:val="22"/>
              </w:rPr>
              <w:t>黄区</w:t>
            </w:r>
          </w:p>
        </w:tc>
        <w:tc>
          <w:tcPr>
            <w:tcW w:w="4178" w:type="dxa"/>
            <w:vAlign w:val="center"/>
          </w:tcPr>
          <w:p>
            <w:pPr>
              <w:spacing w:line="480" w:lineRule="exact"/>
              <w:jc w:val="center"/>
              <w:rPr>
                <w:rFonts w:ascii="宋体" w:hAnsi="宋体"/>
                <w:color w:val="000000"/>
                <w:szCs w:val="22"/>
              </w:rPr>
            </w:pPr>
            <w:r>
              <w:rPr>
                <w:rFonts w:hint="eastAsia" w:ascii="宋体" w:hAnsi="宋体"/>
                <w:color w:val="000000"/>
                <w:szCs w:val="22"/>
              </w:rPr>
              <w:t>5次</w:t>
            </w:r>
          </w:p>
        </w:tc>
        <w:tc>
          <w:tcPr>
            <w:tcW w:w="3351" w:type="dxa"/>
            <w:vAlign w:val="center"/>
          </w:tcPr>
          <w:p>
            <w:pPr>
              <w:spacing w:line="480" w:lineRule="exact"/>
              <w:jc w:val="center"/>
              <w:rPr>
                <w:rFonts w:ascii="宋体" w:hAnsi="宋体"/>
                <w:color w:val="000000"/>
                <w:szCs w:val="22"/>
              </w:rPr>
            </w:pPr>
            <w:r>
              <w:rPr>
                <w:rFonts w:hint="eastAsia" w:ascii="宋体" w:hAnsi="宋体"/>
                <w:color w:val="000000"/>
                <w:szCs w:val="22"/>
              </w:rPr>
              <w:t>1</w:t>
            </w:r>
            <w:r>
              <w:rPr>
                <w:rFonts w:ascii="宋体" w:hAnsi="宋体"/>
                <w:color w:val="000000"/>
                <w:szCs w:val="22"/>
              </w:rPr>
              <w:t>.</w:t>
            </w:r>
            <w:r>
              <w:rPr>
                <w:rFonts w:hint="eastAsia" w:ascii="宋体" w:hAnsi="宋体"/>
                <w:color w:val="000000"/>
                <w:szCs w:val="22"/>
              </w:rPr>
              <w:t>70</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 w:hRule="atLeast"/>
          <w:jc w:val="center"/>
        </w:trPr>
        <w:tc>
          <w:tcPr>
            <w:tcW w:w="1080" w:type="dxa"/>
            <w:vMerge w:val="continue"/>
            <w:vAlign w:val="center"/>
          </w:tcPr>
          <w:p>
            <w:pPr>
              <w:widowControl/>
              <w:spacing w:line="480" w:lineRule="exact"/>
              <w:jc w:val="left"/>
              <w:rPr>
                <w:rFonts w:ascii="宋体" w:hAnsi="宋体"/>
                <w:color w:val="000000"/>
                <w:szCs w:val="22"/>
              </w:rPr>
            </w:pPr>
          </w:p>
        </w:tc>
        <w:tc>
          <w:tcPr>
            <w:tcW w:w="4178" w:type="dxa"/>
            <w:vAlign w:val="center"/>
          </w:tcPr>
          <w:p>
            <w:pPr>
              <w:spacing w:line="480" w:lineRule="exact"/>
              <w:jc w:val="center"/>
              <w:rPr>
                <w:rFonts w:ascii="宋体" w:hAnsi="宋体"/>
                <w:color w:val="000000"/>
                <w:szCs w:val="22"/>
              </w:rPr>
            </w:pPr>
            <w:r>
              <w:rPr>
                <w:rFonts w:hint="eastAsia" w:ascii="宋体" w:hAnsi="宋体"/>
                <w:color w:val="000000"/>
                <w:szCs w:val="22"/>
              </w:rPr>
              <w:t>6次</w:t>
            </w:r>
          </w:p>
        </w:tc>
        <w:tc>
          <w:tcPr>
            <w:tcW w:w="3351" w:type="dxa"/>
            <w:vAlign w:val="center"/>
          </w:tcPr>
          <w:p>
            <w:pPr>
              <w:spacing w:line="480" w:lineRule="exact"/>
              <w:jc w:val="center"/>
              <w:rPr>
                <w:rFonts w:ascii="宋体" w:hAnsi="宋体"/>
                <w:color w:val="000000"/>
                <w:szCs w:val="22"/>
              </w:rPr>
            </w:pPr>
            <w:r>
              <w:rPr>
                <w:rFonts w:hint="eastAsia" w:ascii="宋体" w:hAnsi="宋体"/>
                <w:color w:val="000000"/>
                <w:szCs w:val="22"/>
              </w:rPr>
              <w:t>1.76</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 w:hRule="atLeast"/>
          <w:jc w:val="center"/>
        </w:trPr>
        <w:tc>
          <w:tcPr>
            <w:tcW w:w="1080" w:type="dxa"/>
            <w:vMerge w:val="continue"/>
            <w:vAlign w:val="center"/>
          </w:tcPr>
          <w:p>
            <w:pPr>
              <w:widowControl/>
              <w:spacing w:line="480" w:lineRule="exact"/>
              <w:jc w:val="left"/>
              <w:rPr>
                <w:rFonts w:ascii="宋体" w:hAnsi="宋体"/>
                <w:color w:val="000000"/>
                <w:szCs w:val="22"/>
              </w:rPr>
            </w:pPr>
          </w:p>
        </w:tc>
        <w:tc>
          <w:tcPr>
            <w:tcW w:w="4178" w:type="dxa"/>
            <w:vAlign w:val="center"/>
          </w:tcPr>
          <w:p>
            <w:pPr>
              <w:spacing w:line="480" w:lineRule="exact"/>
              <w:jc w:val="center"/>
              <w:rPr>
                <w:rFonts w:ascii="宋体" w:hAnsi="宋体"/>
                <w:color w:val="000000"/>
                <w:szCs w:val="22"/>
              </w:rPr>
            </w:pPr>
            <w:r>
              <w:rPr>
                <w:rFonts w:hint="eastAsia" w:ascii="宋体" w:hAnsi="宋体"/>
                <w:color w:val="000000"/>
                <w:szCs w:val="22"/>
              </w:rPr>
              <w:t>7次</w:t>
            </w:r>
          </w:p>
        </w:tc>
        <w:tc>
          <w:tcPr>
            <w:tcW w:w="3351" w:type="dxa"/>
            <w:vAlign w:val="center"/>
          </w:tcPr>
          <w:p>
            <w:pPr>
              <w:spacing w:line="480" w:lineRule="exact"/>
              <w:jc w:val="center"/>
              <w:rPr>
                <w:rFonts w:ascii="宋体" w:hAnsi="宋体"/>
                <w:color w:val="000000"/>
                <w:szCs w:val="22"/>
              </w:rPr>
            </w:pPr>
            <w:r>
              <w:rPr>
                <w:rFonts w:hint="eastAsia" w:ascii="宋体" w:hAnsi="宋体"/>
                <w:color w:val="000000"/>
                <w:szCs w:val="22"/>
              </w:rPr>
              <w:t>1.83</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 w:hRule="atLeast"/>
          <w:jc w:val="center"/>
        </w:trPr>
        <w:tc>
          <w:tcPr>
            <w:tcW w:w="1080" w:type="dxa"/>
            <w:vMerge w:val="continue"/>
            <w:vAlign w:val="center"/>
          </w:tcPr>
          <w:p>
            <w:pPr>
              <w:widowControl/>
              <w:spacing w:line="480" w:lineRule="exact"/>
              <w:jc w:val="left"/>
              <w:rPr>
                <w:rFonts w:ascii="宋体" w:hAnsi="宋体"/>
                <w:color w:val="000000"/>
                <w:szCs w:val="22"/>
              </w:rPr>
            </w:pPr>
          </w:p>
        </w:tc>
        <w:tc>
          <w:tcPr>
            <w:tcW w:w="4178" w:type="dxa"/>
            <w:vAlign w:val="center"/>
          </w:tcPr>
          <w:p>
            <w:pPr>
              <w:spacing w:line="480" w:lineRule="exact"/>
              <w:jc w:val="center"/>
              <w:rPr>
                <w:rFonts w:ascii="宋体" w:hAnsi="宋体"/>
                <w:color w:val="000000"/>
                <w:szCs w:val="22"/>
              </w:rPr>
            </w:pPr>
            <w:r>
              <w:rPr>
                <w:rFonts w:hint="eastAsia" w:ascii="宋体" w:hAnsi="宋体"/>
                <w:color w:val="000000"/>
                <w:szCs w:val="22"/>
              </w:rPr>
              <w:t>8次</w:t>
            </w:r>
          </w:p>
        </w:tc>
        <w:tc>
          <w:tcPr>
            <w:tcW w:w="3351" w:type="dxa"/>
            <w:vAlign w:val="center"/>
          </w:tcPr>
          <w:p>
            <w:pPr>
              <w:spacing w:line="480" w:lineRule="exact"/>
              <w:jc w:val="center"/>
              <w:rPr>
                <w:rFonts w:ascii="宋体" w:hAnsi="宋体"/>
                <w:color w:val="000000"/>
                <w:szCs w:val="22"/>
              </w:rPr>
            </w:pPr>
            <w:r>
              <w:rPr>
                <w:rFonts w:hint="eastAsia" w:ascii="宋体" w:hAnsi="宋体"/>
                <w:color w:val="000000"/>
                <w:szCs w:val="22"/>
              </w:rPr>
              <w:t>1.88</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080" w:type="dxa"/>
            <w:vMerge w:val="continue"/>
            <w:vAlign w:val="center"/>
          </w:tcPr>
          <w:p>
            <w:pPr>
              <w:widowControl/>
              <w:spacing w:line="480" w:lineRule="exact"/>
              <w:jc w:val="left"/>
              <w:rPr>
                <w:rFonts w:ascii="宋体" w:hAnsi="宋体"/>
                <w:color w:val="000000"/>
                <w:szCs w:val="22"/>
              </w:rPr>
            </w:pPr>
          </w:p>
        </w:tc>
        <w:tc>
          <w:tcPr>
            <w:tcW w:w="4178" w:type="dxa"/>
            <w:vAlign w:val="center"/>
          </w:tcPr>
          <w:p>
            <w:pPr>
              <w:spacing w:line="480" w:lineRule="exact"/>
              <w:jc w:val="center"/>
              <w:rPr>
                <w:rFonts w:ascii="宋体" w:hAnsi="宋体"/>
                <w:color w:val="000000"/>
                <w:szCs w:val="22"/>
              </w:rPr>
            </w:pPr>
            <w:r>
              <w:rPr>
                <w:rFonts w:hint="eastAsia" w:ascii="宋体" w:hAnsi="宋体"/>
                <w:color w:val="000000"/>
                <w:szCs w:val="22"/>
              </w:rPr>
              <w:t>9次</w:t>
            </w:r>
          </w:p>
        </w:tc>
        <w:tc>
          <w:tcPr>
            <w:tcW w:w="3351" w:type="dxa"/>
            <w:vAlign w:val="center"/>
          </w:tcPr>
          <w:p>
            <w:pPr>
              <w:spacing w:line="480" w:lineRule="exact"/>
              <w:jc w:val="center"/>
              <w:rPr>
                <w:rFonts w:ascii="宋体" w:hAnsi="宋体"/>
                <w:color w:val="000000"/>
                <w:szCs w:val="22"/>
              </w:rPr>
            </w:pPr>
            <w:r>
              <w:rPr>
                <w:rFonts w:hint="eastAsia" w:ascii="宋体" w:hAnsi="宋体"/>
                <w:color w:val="000000"/>
                <w:szCs w:val="22"/>
              </w:rPr>
              <w:t>1.92</w:t>
            </w:r>
          </w:p>
        </w:tc>
      </w:tr>
      <w:tr>
        <w:tblPrEx>
          <w:tblBorders>
            <w:top w:val="single" w:color="000000" w:sz="4" w:space="0"/>
            <w:left w:val="single" w:color="000000" w:sz="4" w:space="0"/>
            <w:bottom w:val="single" w:color="auto"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1080" w:type="dxa"/>
            <w:vAlign w:val="center"/>
          </w:tcPr>
          <w:p>
            <w:pPr>
              <w:spacing w:line="480" w:lineRule="exact"/>
              <w:jc w:val="center"/>
              <w:rPr>
                <w:rFonts w:ascii="宋体" w:hAnsi="宋体"/>
                <w:color w:val="000000"/>
                <w:szCs w:val="22"/>
              </w:rPr>
            </w:pPr>
            <w:r>
              <w:rPr>
                <w:rFonts w:hint="eastAsia" w:ascii="宋体" w:hAnsi="宋体"/>
                <w:color w:val="000000"/>
                <w:szCs w:val="22"/>
              </w:rPr>
              <w:t>红区</w:t>
            </w:r>
          </w:p>
        </w:tc>
        <w:tc>
          <w:tcPr>
            <w:tcW w:w="4178" w:type="dxa"/>
            <w:vAlign w:val="center"/>
          </w:tcPr>
          <w:p>
            <w:pPr>
              <w:spacing w:line="480" w:lineRule="exact"/>
              <w:jc w:val="center"/>
              <w:rPr>
                <w:rFonts w:ascii="宋体" w:hAnsi="宋体"/>
                <w:color w:val="000000"/>
                <w:szCs w:val="22"/>
              </w:rPr>
            </w:pPr>
            <w:r>
              <w:rPr>
                <w:rFonts w:hint="eastAsia" w:ascii="宋体" w:hAnsi="宋体"/>
                <w:color w:val="000000"/>
                <w:szCs w:val="22"/>
              </w:rPr>
              <w:t>10次或以上</w:t>
            </w:r>
          </w:p>
        </w:tc>
        <w:tc>
          <w:tcPr>
            <w:tcW w:w="3351" w:type="dxa"/>
            <w:vAlign w:val="center"/>
          </w:tcPr>
          <w:p>
            <w:pPr>
              <w:spacing w:line="480" w:lineRule="exact"/>
              <w:jc w:val="center"/>
              <w:rPr>
                <w:rFonts w:ascii="宋体" w:hAnsi="宋体"/>
                <w:color w:val="000000"/>
                <w:szCs w:val="22"/>
              </w:rPr>
            </w:pPr>
            <w:r>
              <w:rPr>
                <w:rFonts w:hint="eastAsia" w:ascii="宋体" w:hAnsi="宋体"/>
                <w:color w:val="000000"/>
                <w:szCs w:val="22"/>
              </w:rPr>
              <w:t>2.00</w:t>
            </w:r>
          </w:p>
        </w:tc>
      </w:tr>
    </w:tbl>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D风险资本要求</w:t>
      </w:r>
      <w:r>
        <w:rPr>
          <w:rFonts w:ascii="宋体" w:hAnsi="宋体"/>
          <w:szCs w:val="21"/>
        </w:rPr>
        <w:t>]</w:t>
      </w:r>
      <w:r>
        <w:rPr>
          <w:rFonts w:hint="eastAsia" w:ascii="宋体" w:hAnsi="宋体"/>
          <w:szCs w:val="21"/>
        </w:rPr>
        <w:t>：填报对应的市场风险资本要求。</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1.</w:t>
      </w:r>
      <w:r>
        <w:rPr>
          <w:rFonts w:hint="eastAsia"/>
        </w:rPr>
        <w:t>可使用内部模型法的交易台的资本要求(IMA)</w:t>
      </w:r>
      <w:r>
        <w:rPr>
          <w:rFonts w:ascii="宋体" w:hAnsi="宋体"/>
          <w:szCs w:val="21"/>
        </w:rPr>
        <w:t>]</w:t>
      </w:r>
      <w:r>
        <w:rPr>
          <w:rFonts w:hint="eastAsia" w:ascii="宋体" w:hAnsi="宋体"/>
          <w:szCs w:val="21"/>
        </w:rPr>
        <w:t>：指填报机构可使用内部模型法的交易台的总资本要求，包括可建模风险因子的资本要求(IMCC)、不可建模风险因子的资本要求(SES)和违约风险资本要求(DRC)。</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1.1可建模风险因子的资本要求(IMCC)</w:t>
      </w:r>
      <w:r>
        <w:rPr>
          <w:rFonts w:ascii="宋体" w:hAnsi="宋体"/>
          <w:szCs w:val="21"/>
        </w:rPr>
        <w:t>]</w:t>
      </w:r>
      <w:r>
        <w:rPr>
          <w:rFonts w:hint="eastAsia" w:ascii="宋体" w:hAnsi="宋体"/>
          <w:szCs w:val="21"/>
        </w:rPr>
        <w:t>：指填报机构可建模风险因子的资本要求。可建模风险因子的总资本要求(IMCC)为受分散效应和不受分散效应影响的各风险类别预期尾部损失资本要求的加权平均值。公式如下:</w:t>
      </w:r>
    </w:p>
    <w:p>
      <w:pPr>
        <w:tabs>
          <w:tab w:val="left" w:pos="720"/>
        </w:tabs>
        <w:ind w:firstLine="472" w:firstLineChars="225"/>
        <w:jc w:val="center"/>
        <w:rPr>
          <w:sz w:val="30"/>
          <w:szCs w:val="30"/>
        </w:rPr>
      </w:pPr>
      <w:r>
        <w:drawing>
          <wp:inline distT="0" distB="0" distL="114300" distR="114300">
            <wp:extent cx="2901950" cy="394970"/>
            <wp:effectExtent l="0" t="0" r="12700" b="5080"/>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6"/>
                    <a:stretch>
                      <a:fillRect/>
                    </a:stretch>
                  </pic:blipFill>
                  <pic:spPr>
                    <a:xfrm>
                      <a:off x="0" y="0"/>
                      <a:ext cx="2901950" cy="394970"/>
                    </a:xfrm>
                    <a:prstGeom prst="rect">
                      <a:avLst/>
                    </a:prstGeom>
                    <a:noFill/>
                    <a:ln>
                      <a:noFill/>
                    </a:ln>
                  </pic:spPr>
                </pic:pic>
              </a:graphicData>
            </a:graphic>
          </wp:inline>
        </w:drawing>
      </w:r>
    </w:p>
    <w:p>
      <w:pPr>
        <w:spacing w:line="480" w:lineRule="exact"/>
        <w:ind w:firstLine="420" w:firstLineChars="200"/>
        <w:rPr>
          <w:rFonts w:ascii="宋体" w:hAnsi="宋体"/>
          <w:szCs w:val="21"/>
        </w:rPr>
      </w:pPr>
      <w:r>
        <w:rPr>
          <w:rFonts w:hint="eastAsia" w:ascii="宋体" w:hAnsi="宋体"/>
          <w:szCs w:val="21"/>
        </w:rPr>
        <w:t>其中：</w:t>
      </w:r>
    </w:p>
    <w:p>
      <w:pPr>
        <w:tabs>
          <w:tab w:val="left" w:pos="720"/>
        </w:tabs>
        <w:ind w:firstLine="472" w:firstLineChars="225"/>
        <w:rPr>
          <w:rFonts w:ascii="宋体" w:hAnsi="宋体"/>
          <w:szCs w:val="21"/>
        </w:rPr>
      </w:pPr>
      <w:r>
        <w:rPr>
          <w:rFonts w:hint="eastAsia" w:ascii="宋体" w:hAnsi="宋体"/>
          <w:szCs w:val="21"/>
        </w:rPr>
        <w:t>1．</w:t>
      </w:r>
      <w:r>
        <w:rPr>
          <w:rFonts w:ascii="宋体" w:hAnsi="宋体"/>
          <w:szCs w:val="21"/>
        </w:rPr>
        <w:object>
          <v:shape id="_x0000_i1025" o:spt="75" type="#_x0000_t75" style="height:32.4pt;width:247.2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宋体" w:hAnsi="宋体"/>
          <w:szCs w:val="21"/>
        </w:rPr>
        <w:t>。</w:t>
      </w:r>
    </w:p>
    <w:p>
      <w:pPr>
        <w:tabs>
          <w:tab w:val="left" w:pos="720"/>
        </w:tabs>
        <w:spacing w:line="440" w:lineRule="exact"/>
        <w:ind w:firstLine="472" w:firstLineChars="225"/>
        <w:rPr>
          <w:rFonts w:ascii="宋体" w:hAnsi="宋体"/>
          <w:szCs w:val="21"/>
        </w:rPr>
      </w:pPr>
      <w:r>
        <w:rPr>
          <w:rFonts w:hint="eastAsia" w:ascii="宋体" w:hAnsi="宋体"/>
          <w:szCs w:val="21"/>
        </w:rPr>
        <w:t>2．</w:t>
      </w:r>
      <w:r>
        <w:rPr>
          <w:rFonts w:ascii="宋体" w:hAnsi="宋体"/>
          <w:szCs w:val="21"/>
        </w:rPr>
        <w:object>
          <v:shape id="_x0000_i1026" o:spt="75" type="#_x0000_t75" style="height:15.6pt;width:50.4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宋体" w:hAnsi="宋体"/>
          <w:szCs w:val="21"/>
        </w:rPr>
        <w:t>为全行层面上使用内部模型计算的资本要求，受分散效应影响。</w:t>
      </w:r>
    </w:p>
    <w:p>
      <w:pPr>
        <w:tabs>
          <w:tab w:val="left" w:pos="720"/>
        </w:tabs>
        <w:spacing w:line="440" w:lineRule="exact"/>
        <w:ind w:firstLine="472" w:firstLineChars="225"/>
        <w:rPr>
          <w:rFonts w:ascii="宋体" w:hAnsi="宋体"/>
          <w:szCs w:val="21"/>
        </w:rPr>
      </w:pPr>
      <w:r>
        <w:rPr>
          <w:rFonts w:hint="eastAsia" w:ascii="宋体" w:hAnsi="宋体"/>
          <w:szCs w:val="21"/>
        </w:rPr>
        <w:t>3．</w:t>
      </w:r>
      <w:r>
        <w:rPr>
          <w:rFonts w:ascii="宋体" w:hAnsi="宋体"/>
          <w:szCs w:val="21"/>
        </w:rPr>
        <w:object>
          <v:shape id="_x0000_i1027" o:spt="75" type="#_x0000_t75" style="height:16.8pt;width:52.8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ascii="宋体" w:hAnsi="宋体"/>
          <w:szCs w:val="21"/>
        </w:rPr>
        <w:t>为各风险类别计算预期尾部损失资本要求，不受分散效应影响。</w:t>
      </w:r>
    </w:p>
    <w:p>
      <w:pPr>
        <w:tabs>
          <w:tab w:val="left" w:pos="720"/>
        </w:tabs>
        <w:spacing w:line="440" w:lineRule="exact"/>
        <w:ind w:firstLine="472" w:firstLineChars="225"/>
        <w:rPr>
          <w:rFonts w:ascii="宋体" w:hAnsi="宋体"/>
          <w:szCs w:val="21"/>
        </w:rPr>
      </w:pPr>
      <w:r>
        <w:rPr>
          <w:rFonts w:hint="eastAsia" w:ascii="宋体" w:hAnsi="宋体"/>
          <w:szCs w:val="21"/>
        </w:rPr>
        <w:t>4．计算风险类别层面的</w:t>
      </w:r>
      <w:r>
        <w:rPr>
          <w:rFonts w:ascii="宋体" w:hAnsi="宋体"/>
          <w:szCs w:val="21"/>
        </w:rPr>
        <w:object>
          <v:shape id="_x0000_i1028" o:spt="75" type="#_x0000_t75" style="height:18.6pt;width:36.6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宋体" w:hAnsi="宋体"/>
          <w:szCs w:val="21"/>
        </w:rPr>
        <w:t>中使用的压力情景与用于计算整个投资组合的</w:t>
      </w:r>
      <w:r>
        <w:rPr>
          <w:rFonts w:ascii="宋体" w:hAnsi="宋体"/>
          <w:szCs w:val="21"/>
        </w:rPr>
        <w:object>
          <v:shape id="_x0000_i1029" o:spt="75" type="#_x0000_t75" style="height:18.6pt;width:30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宋体" w:hAnsi="宋体"/>
          <w:szCs w:val="21"/>
        </w:rPr>
        <w:t>的压力情景相同。</w:t>
      </w:r>
    </w:p>
    <w:p>
      <w:pPr>
        <w:tabs>
          <w:tab w:val="left" w:pos="720"/>
        </w:tabs>
        <w:spacing w:line="440" w:lineRule="exact"/>
        <w:ind w:firstLine="472" w:firstLineChars="225"/>
        <w:rPr>
          <w:rFonts w:ascii="宋体" w:hAnsi="宋体"/>
          <w:szCs w:val="21"/>
        </w:rPr>
      </w:pPr>
      <w:r>
        <w:rPr>
          <w:rFonts w:hint="eastAsia" w:ascii="宋体" w:hAnsi="宋体"/>
          <w:szCs w:val="21"/>
        </w:rPr>
        <w:t>5．</w:t>
      </w:r>
      <w:r>
        <w:rPr>
          <w:rFonts w:ascii="宋体" w:hAnsi="宋体"/>
          <w:szCs w:val="21"/>
        </w:rPr>
        <w:object>
          <v:shape id="_x0000_i1030" o:spt="75" type="#_x0000_t75" style="height:13.2pt;width:12.6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宋体" w:hAnsi="宋体"/>
          <w:szCs w:val="21"/>
        </w:rPr>
        <w:t>为0.5。</w:t>
      </w:r>
    </w:p>
    <w:p>
      <w:pPr>
        <w:tabs>
          <w:tab w:val="left" w:pos="720"/>
        </w:tabs>
        <w:spacing w:line="440" w:lineRule="exact"/>
        <w:ind w:firstLine="472" w:firstLineChars="225"/>
        <w:rPr>
          <w:rFonts w:ascii="宋体" w:hAnsi="宋体"/>
          <w:szCs w:val="21"/>
        </w:rPr>
      </w:pPr>
      <w:r>
        <w:rPr>
          <w:rFonts w:hint="eastAsia" w:ascii="宋体" w:hAnsi="宋体"/>
          <w:szCs w:val="21"/>
        </w:rPr>
        <w:t>6．B为风险类别。</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1.1.1一般利率风险</w:t>
      </w:r>
      <w:r>
        <w:rPr>
          <w:rFonts w:ascii="宋体" w:hAnsi="宋体"/>
          <w:szCs w:val="21"/>
        </w:rPr>
        <w:t>]</w:t>
      </w:r>
      <w:r>
        <w:rPr>
          <w:rFonts w:hint="eastAsia" w:ascii="宋体" w:hAnsi="宋体"/>
          <w:szCs w:val="21"/>
        </w:rPr>
        <w:t>：是指填报机构使用内部模型法计量的一般利率风险预期尾部损失。填报机构的内部模型应涵盖每一种计价货币的利率所对应的一系列风险因子，应使用业内普遍接受的方法构建内部模型使用的收益率曲线。收益率曲线应划分为不同的到期时间，以反映收益率的期限结构变化；每个到期时间都应对应一个风险因子。对于风险暴露较大的主要货币和主要市场的利率变化，应使用至少六个风险因子构建收益率曲线。</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w:t>
      </w:r>
      <w:r>
        <w:rPr>
          <w:rFonts w:ascii="宋体" w:hAnsi="宋体"/>
          <w:szCs w:val="21"/>
        </w:rPr>
        <w:t>2</w:t>
      </w:r>
      <w:r>
        <w:rPr>
          <w:rFonts w:hint="eastAsia" w:ascii="宋体" w:hAnsi="宋体"/>
          <w:szCs w:val="21"/>
        </w:rPr>
        <w:t>信用利差风险</w:t>
      </w:r>
      <w:r>
        <w:rPr>
          <w:rFonts w:ascii="宋体" w:hAnsi="宋体"/>
          <w:szCs w:val="21"/>
        </w:rPr>
        <w:t>]</w:t>
      </w:r>
      <w:r>
        <w:rPr>
          <w:rFonts w:hint="eastAsia" w:ascii="宋体" w:hAnsi="宋体"/>
          <w:szCs w:val="21"/>
        </w:rPr>
        <w:t>：是指填报机构使用内部模型法计量的信用利差风险预期尾部损失。风险因子应能独立反映主要的利差风险（如债券利率与无风险利率之间的信用利差），以衡量利率工具收益率曲线与无风险收益率曲线波动的非完全相关性。填报机构可根据无风险收益率曲线剥离出信用利差曲线，识别风险因子时应考虑到期时间、信用主体风险特征等因素。</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w:t>
      </w:r>
      <w:r>
        <w:rPr>
          <w:rFonts w:ascii="宋体" w:hAnsi="宋体"/>
          <w:szCs w:val="21"/>
        </w:rPr>
        <w:t>3</w:t>
      </w:r>
      <w:r>
        <w:rPr>
          <w:rFonts w:hint="eastAsia" w:ascii="宋体" w:hAnsi="宋体"/>
          <w:szCs w:val="21"/>
        </w:rPr>
        <w:t>股票风险</w:t>
      </w:r>
      <w:r>
        <w:rPr>
          <w:rFonts w:ascii="宋体" w:hAnsi="宋体"/>
          <w:szCs w:val="21"/>
        </w:rPr>
        <w:t>]</w:t>
      </w:r>
      <w:r>
        <w:rPr>
          <w:rFonts w:hint="eastAsia" w:ascii="宋体" w:hAnsi="宋体"/>
          <w:szCs w:val="21"/>
        </w:rPr>
        <w:t>：是指填报机构使用内部模型法计量的股票风险预期尾部损失。内部模型应包含与其所持有的每个较大股票头寸所属交易市场相对应的风险因子。</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w:t>
      </w:r>
      <w:r>
        <w:rPr>
          <w:rFonts w:ascii="宋体" w:hAnsi="宋体"/>
          <w:szCs w:val="21"/>
        </w:rPr>
        <w:t>4</w:t>
      </w:r>
      <w:r>
        <w:rPr>
          <w:rFonts w:hint="eastAsia" w:ascii="宋体" w:hAnsi="宋体"/>
          <w:szCs w:val="21"/>
        </w:rPr>
        <w:t>汇率风险</w:t>
      </w:r>
      <w:r>
        <w:rPr>
          <w:rFonts w:ascii="宋体" w:hAnsi="宋体"/>
          <w:szCs w:val="21"/>
        </w:rPr>
        <w:t>]</w:t>
      </w:r>
      <w:r>
        <w:rPr>
          <w:rFonts w:hint="eastAsia" w:ascii="宋体" w:hAnsi="宋体"/>
          <w:szCs w:val="21"/>
        </w:rPr>
        <w:t>：是指填报机构使用内部模型法计量的汇率风险预期尾部损失。内部模型中应包含与其所持有的每一种风险暴露较大的外币与本币汇率相对应的风险因子。</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w:t>
      </w:r>
      <w:r>
        <w:rPr>
          <w:rFonts w:ascii="宋体" w:hAnsi="宋体"/>
          <w:szCs w:val="21"/>
        </w:rPr>
        <w:t>5</w:t>
      </w:r>
      <w:r>
        <w:rPr>
          <w:rFonts w:hint="eastAsia" w:ascii="宋体" w:hAnsi="宋体"/>
          <w:szCs w:val="21"/>
        </w:rPr>
        <w:t>商品风险</w:t>
      </w:r>
      <w:r>
        <w:rPr>
          <w:rFonts w:ascii="宋体" w:hAnsi="宋体"/>
          <w:szCs w:val="21"/>
        </w:rPr>
        <w:t>]</w:t>
      </w:r>
      <w:r>
        <w:rPr>
          <w:rFonts w:hint="eastAsia" w:ascii="宋体" w:hAnsi="宋体"/>
          <w:szCs w:val="21"/>
        </w:rPr>
        <w:t>：是指填报机构使用内部模型法计量的商品风险预期尾部损失。内部模型应包含与其所持有的每个较大商品头寸（含黄金）所属交易市场相对应的风险因子。</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w:t>
      </w:r>
      <w:r>
        <w:rPr>
          <w:rFonts w:ascii="宋体" w:hAnsi="宋体"/>
          <w:szCs w:val="21"/>
        </w:rPr>
        <w:t>6</w:t>
      </w:r>
      <w:r>
        <w:rPr>
          <w:rFonts w:hint="eastAsia" w:ascii="宋体" w:hAnsi="宋体"/>
          <w:szCs w:val="21"/>
        </w:rPr>
        <w:t>不受分散效应影响的各风险类别预期尾部损失</w:t>
      </w:r>
      <w:r>
        <w:rPr>
          <w:rFonts w:ascii="宋体" w:hAnsi="宋体"/>
          <w:szCs w:val="21"/>
        </w:rPr>
        <w:t>]</w:t>
      </w:r>
      <w:r>
        <w:rPr>
          <w:rFonts w:hint="eastAsia" w:ascii="宋体" w:hAnsi="宋体"/>
          <w:szCs w:val="21"/>
        </w:rPr>
        <w:t>：指对于可建模风险因子，填报机构按各风险类别计算预期尾部损失资本要求，不受分散效应影响。</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w:t>
      </w:r>
      <w:r>
        <w:rPr>
          <w:rFonts w:ascii="宋体" w:hAnsi="宋体"/>
          <w:szCs w:val="21"/>
        </w:rPr>
        <w:t>7</w:t>
      </w:r>
      <w:r>
        <w:rPr>
          <w:rFonts w:hint="eastAsia" w:ascii="宋体" w:hAnsi="宋体"/>
          <w:szCs w:val="21"/>
        </w:rPr>
        <w:t>受分散效应影响的预期尾部损失</w:t>
      </w:r>
      <w:r>
        <w:rPr>
          <w:rFonts w:ascii="宋体" w:hAnsi="宋体"/>
          <w:szCs w:val="21"/>
        </w:rPr>
        <w:t>]</w:t>
      </w:r>
      <w:r>
        <w:rPr>
          <w:rFonts w:hint="eastAsia" w:ascii="宋体" w:hAnsi="宋体"/>
          <w:szCs w:val="21"/>
        </w:rPr>
        <w:t>：指对于可建模风险因子，填报机构层面上使用内部模型计算的资本要求，受分散效应影响。</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w:t>
      </w:r>
      <w:r>
        <w:rPr>
          <w:rFonts w:ascii="宋体" w:hAnsi="宋体"/>
          <w:szCs w:val="21"/>
        </w:rPr>
        <w:t>8</w:t>
      </w:r>
      <w:r>
        <w:rPr>
          <w:rFonts w:hint="eastAsia" w:ascii="宋体" w:hAnsi="宋体"/>
          <w:szCs w:val="21"/>
        </w:rPr>
        <w:t>返回检验的突破次数</w:t>
      </w:r>
      <w:r>
        <w:rPr>
          <w:rFonts w:ascii="宋体" w:hAnsi="宋体"/>
          <w:szCs w:val="21"/>
        </w:rPr>
        <w:t>]</w:t>
      </w:r>
      <w:r>
        <w:rPr>
          <w:rFonts w:hint="eastAsia" w:ascii="宋体" w:hAnsi="宋体"/>
          <w:szCs w:val="21"/>
        </w:rPr>
        <w:t>：是指填报机构过去250个交易日的返回检验结果中总计发生的突破次数。填报机构应每日计算基于T-1日头寸的风险价值与T日的损益数据并进行比较，如实际损失或假设损失超过风险价值，或者出现损益或风险价值无法获取的情况，则称为发生一次突破。全行层面返回检验风险价值的持有期为1天，置信区间为99%，计算方法以及使用的历史数据期限等参数应与使用内部模型法计提市场风险资本要求时所用参数保持一致。总体的突破数量是实际损失突破情况和假设损失突破情况中的较大值。</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1.2不可建模风险因子的资本要求(SES)</w:t>
      </w:r>
      <w:r>
        <w:rPr>
          <w:rFonts w:ascii="宋体" w:hAnsi="宋体"/>
          <w:szCs w:val="21"/>
        </w:rPr>
        <w:t>]</w:t>
      </w:r>
      <w:r>
        <w:rPr>
          <w:rFonts w:hint="eastAsia" w:ascii="宋体" w:hAnsi="宋体"/>
          <w:szCs w:val="21"/>
        </w:rPr>
        <w:t>：指填报机构的不可建模风险因子的资本要求，公式如下：</w:t>
      </w:r>
    </w:p>
    <w:p>
      <w:pPr>
        <w:tabs>
          <w:tab w:val="left" w:pos="720"/>
        </w:tabs>
        <w:ind w:firstLine="472" w:firstLineChars="225"/>
      </w:pPr>
      <w:r>
        <w:drawing>
          <wp:inline distT="0" distB="0" distL="114300" distR="114300">
            <wp:extent cx="4940935" cy="480060"/>
            <wp:effectExtent l="0" t="0" r="12065" b="15240"/>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pic:cNvPicPr>
                  </pic:nvPicPr>
                  <pic:blipFill>
                    <a:blip r:embed="rId19"/>
                    <a:stretch>
                      <a:fillRect/>
                    </a:stretch>
                  </pic:blipFill>
                  <pic:spPr>
                    <a:xfrm>
                      <a:off x="0" y="0"/>
                      <a:ext cx="4940935" cy="480060"/>
                    </a:xfrm>
                    <a:prstGeom prst="rect">
                      <a:avLst/>
                    </a:prstGeom>
                    <a:noFill/>
                    <a:ln>
                      <a:noFill/>
                    </a:ln>
                  </pic:spPr>
                </pic:pic>
              </a:graphicData>
            </a:graphic>
          </wp:inline>
        </w:drawing>
      </w:r>
    </w:p>
    <w:p>
      <w:pPr>
        <w:tabs>
          <w:tab w:val="left" w:pos="720"/>
        </w:tabs>
        <w:ind w:firstLine="472" w:firstLineChars="225"/>
        <w:rPr>
          <w:rFonts w:ascii="宋体" w:hAnsi="宋体"/>
          <w:szCs w:val="21"/>
        </w:rPr>
      </w:pP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信用利差风险因子资本要求(ISES)</w:t>
      </w:r>
      <w:r>
        <w:rPr>
          <w:rFonts w:ascii="宋体" w:hAnsi="宋体"/>
          <w:szCs w:val="21"/>
        </w:rPr>
        <w:t>]</w:t>
      </w:r>
      <w:r>
        <w:rPr>
          <w:rFonts w:hint="eastAsia" w:ascii="宋体" w:hAnsi="宋体"/>
          <w:szCs w:val="21"/>
        </w:rPr>
        <w:t>：指填报机构已证明适用零相关性加总的不可建模特定信用利差风险因子集合I的压力情景预期尾部损失资本要求（</w:t>
      </w:r>
      <w:r>
        <w:drawing>
          <wp:inline distT="0" distB="0" distL="114300" distR="114300">
            <wp:extent cx="727075" cy="424180"/>
            <wp:effectExtent l="0" t="0" r="15875" b="13970"/>
            <wp:docPr id="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pic:cNvPicPr>
                      <a:picLocks noChangeAspect="1"/>
                    </pic:cNvPicPr>
                  </pic:nvPicPr>
                  <pic:blipFill>
                    <a:blip r:embed="rId20"/>
                    <a:stretch>
                      <a:fillRect/>
                    </a:stretch>
                  </pic:blipFill>
                  <pic:spPr>
                    <a:xfrm>
                      <a:off x="0" y="0"/>
                      <a:ext cx="727075" cy="424180"/>
                    </a:xfrm>
                    <a:prstGeom prst="rect">
                      <a:avLst/>
                    </a:prstGeom>
                    <a:noFill/>
                    <a:ln>
                      <a:noFill/>
                    </a:ln>
                  </pic:spPr>
                </pic:pic>
              </a:graphicData>
            </a:graphic>
          </wp:inline>
        </w:drawing>
      </w:r>
      <w:r>
        <w:rPr>
          <w:rFonts w:hint="eastAsia" w:ascii="宋体" w:hAnsi="宋体"/>
          <w:szCs w:val="21"/>
        </w:rPr>
        <w:t>）。</w:t>
      </w:r>
    </w:p>
    <w:p>
      <w:pPr>
        <w:tabs>
          <w:tab w:val="left" w:pos="720"/>
        </w:tabs>
        <w:ind w:firstLine="472" w:firstLineChars="225"/>
        <w:rPr>
          <w:rFonts w:ascii="宋体" w:hAnsi="宋体"/>
          <w:szCs w:val="21"/>
        </w:rPr>
      </w:pP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.2股票风险因子资本要求(ISES)</w:t>
      </w:r>
      <w:r>
        <w:rPr>
          <w:rFonts w:ascii="宋体" w:hAnsi="宋体"/>
          <w:szCs w:val="21"/>
        </w:rPr>
        <w:t>]</w:t>
      </w:r>
      <w:r>
        <w:rPr>
          <w:rFonts w:hint="eastAsia" w:ascii="宋体" w:hAnsi="宋体"/>
          <w:szCs w:val="21"/>
        </w:rPr>
        <w:t>：指填报机构已证明适用零相关性加总的不可建模特定股票风险因子集合J的压力情景预期尾部损失资本要求（</w:t>
      </w:r>
      <w:r>
        <w:drawing>
          <wp:inline distT="0" distB="0" distL="114300" distR="114300">
            <wp:extent cx="689610" cy="398145"/>
            <wp:effectExtent l="0" t="0" r="15240" b="1905"/>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pic:cNvPicPr>
                  </pic:nvPicPr>
                  <pic:blipFill>
                    <a:blip r:embed="rId21"/>
                    <a:stretch>
                      <a:fillRect/>
                    </a:stretch>
                  </pic:blipFill>
                  <pic:spPr>
                    <a:xfrm>
                      <a:off x="0" y="0"/>
                      <a:ext cx="689610" cy="398145"/>
                    </a:xfrm>
                    <a:prstGeom prst="rect">
                      <a:avLst/>
                    </a:prstGeom>
                    <a:noFill/>
                    <a:ln>
                      <a:noFill/>
                    </a:ln>
                  </pic:spPr>
                </pic:pic>
              </a:graphicData>
            </a:graphic>
          </wp:inline>
        </w:drawing>
      </w:r>
      <w:r>
        <w:rPr>
          <w:rFonts w:hint="eastAsia" w:ascii="宋体" w:hAnsi="宋体"/>
          <w:szCs w:val="21"/>
        </w:rPr>
        <w:t>）。</w:t>
      </w:r>
    </w:p>
    <w:p>
      <w:pPr>
        <w:tabs>
          <w:tab w:val="left" w:pos="720"/>
        </w:tabs>
        <w:ind w:firstLine="472" w:firstLineChars="225"/>
        <w:jc w:val="left"/>
        <w:rPr>
          <w:rFonts w:ascii="宋体" w:hAnsi="宋体"/>
          <w:szCs w:val="21"/>
        </w:rPr>
      </w:pP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.3可建模交易台下其他不可建模风险因子资本要求(SES)</w:t>
      </w:r>
      <w:r>
        <w:rPr>
          <w:rFonts w:ascii="宋体" w:hAnsi="宋体"/>
          <w:szCs w:val="21"/>
        </w:rPr>
        <w:t>]</w:t>
      </w:r>
      <w:r>
        <w:rPr>
          <w:rFonts w:hint="eastAsia" w:ascii="宋体" w:hAnsi="宋体"/>
          <w:szCs w:val="21"/>
        </w:rPr>
        <w:t>：指填报机构可建模交易台下其他不可建模风险因子集合K中的压力情景资本要求。公式如下：</w:t>
      </w:r>
    </w:p>
    <w:p>
      <w:pPr>
        <w:tabs>
          <w:tab w:val="left" w:pos="720"/>
        </w:tabs>
        <w:ind w:firstLine="472" w:firstLineChars="225"/>
        <w:jc w:val="center"/>
        <w:rPr>
          <w:rFonts w:ascii="宋体" w:hAnsi="宋体"/>
          <w:szCs w:val="21"/>
        </w:rPr>
      </w:pPr>
      <w:r>
        <w:drawing>
          <wp:inline distT="0" distB="0" distL="114300" distR="114300">
            <wp:extent cx="2578100" cy="521970"/>
            <wp:effectExtent l="0" t="0" r="12700" b="11430"/>
            <wp:docPr id="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1"/>
                    <pic:cNvPicPr>
                      <a:picLocks noChangeAspect="1"/>
                    </pic:cNvPicPr>
                  </pic:nvPicPr>
                  <pic:blipFill>
                    <a:blip r:embed="rId22"/>
                    <a:stretch>
                      <a:fillRect/>
                    </a:stretch>
                  </pic:blipFill>
                  <pic:spPr>
                    <a:xfrm>
                      <a:off x="0" y="0"/>
                      <a:ext cx="2578100" cy="521970"/>
                    </a:xfrm>
                    <a:prstGeom prst="rect">
                      <a:avLst/>
                    </a:prstGeom>
                    <a:noFill/>
                    <a:ln>
                      <a:noFill/>
                    </a:ln>
                  </pic:spPr>
                </pic:pic>
              </a:graphicData>
            </a:graphic>
          </wp:inline>
        </w:drawing>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1.3可使用内部模型法的交易台除违约风险资本外的总资本要求(CA)</w:t>
      </w:r>
      <w:r>
        <w:rPr>
          <w:rFonts w:ascii="宋体" w:hAnsi="宋体"/>
          <w:szCs w:val="21"/>
        </w:rPr>
        <w:t>]</w:t>
      </w:r>
      <w:r>
        <w:rPr>
          <w:rFonts w:hint="eastAsia" w:ascii="宋体" w:hAnsi="宋体"/>
          <w:szCs w:val="21"/>
        </w:rPr>
        <w:t>：指填报机构已经验收通过使用内部模型法且符合内部模型法使用条件的交易台的总资本要求（违约风险资本除外），包括可建模风险因子的资本要求(IMCC)与不可建模风险因子的资本要求(SES)。</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w:t>
      </w:r>
      <w:r>
        <w:rPr>
          <w:rFonts w:ascii="宋体" w:hAnsi="宋体"/>
          <w:szCs w:val="21"/>
        </w:rPr>
        <w:t>4</w:t>
      </w:r>
      <w:r>
        <w:rPr>
          <w:rFonts w:hint="eastAsia" w:ascii="宋体" w:hAnsi="宋体"/>
          <w:szCs w:val="21"/>
        </w:rPr>
        <w:t>违约风险资本要求(DRC)</w:t>
      </w:r>
      <w:r>
        <w:rPr>
          <w:rFonts w:ascii="宋体" w:hAnsi="宋体"/>
          <w:szCs w:val="21"/>
        </w:rPr>
        <w:t>]</w:t>
      </w:r>
      <w:r>
        <w:rPr>
          <w:rFonts w:hint="eastAsia" w:ascii="宋体" w:hAnsi="宋体"/>
          <w:szCs w:val="21"/>
        </w:rPr>
        <w:t>：指填报机构使用内部模型法计量的违约风险资本要求。违约风险是指由于债务人违约而导致直接损失的风险，以及违约事件可能导致的潜在非直接损失的风险。填报机构应使用单独的内部模型计量违约风险资本要求，内部模型未达到合格标准或未覆盖违约风险的，则应采用标准法计量违约市场风险资本要求。</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w:t>
      </w:r>
      <w:r>
        <w:rPr>
          <w:rFonts w:ascii="宋体" w:hAnsi="宋体"/>
          <w:szCs w:val="21"/>
        </w:rPr>
        <w:t>5</w:t>
      </w:r>
      <w:r>
        <w:rPr>
          <w:rFonts w:hint="eastAsia" w:ascii="宋体" w:hAnsi="宋体"/>
          <w:szCs w:val="21"/>
        </w:rPr>
        <w:t>可使用内部模型法交易台的标准法总资本要求(SA)</w:t>
      </w:r>
      <w:r>
        <w:rPr>
          <w:rFonts w:ascii="宋体" w:hAnsi="宋体"/>
          <w:szCs w:val="21"/>
        </w:rPr>
        <w:t>]</w:t>
      </w:r>
      <w:r>
        <w:rPr>
          <w:rFonts w:hint="eastAsia" w:ascii="宋体" w:hAnsi="宋体"/>
          <w:szCs w:val="21"/>
        </w:rPr>
        <w:t>：指填报机构已经验收通过使用内部模型法且符合内部模型法使用条件的交易台在标准法下的市场风险资本要求。</w:t>
      </w:r>
    </w:p>
    <w:p>
      <w:pPr>
        <w:tabs>
          <w:tab w:val="left" w:pos="720"/>
        </w:tabs>
        <w:spacing w:line="440" w:lineRule="exact"/>
        <w:ind w:firstLine="472" w:firstLineChars="225"/>
        <w:rPr>
          <w:rFonts w:ascii="宋体" w:hAnsi="宋体"/>
          <w:szCs w:val="21"/>
        </w:rPr>
      </w:pPr>
      <w:r>
        <w:rPr>
          <w:rFonts w:ascii="宋体" w:hAnsi="宋体"/>
          <w:szCs w:val="21"/>
        </w:rPr>
        <w:t>[2.</w:t>
      </w:r>
      <w:r>
        <w:rPr>
          <w:rFonts w:hint="eastAsia" w:ascii="宋体" w:hAnsi="宋体"/>
          <w:szCs w:val="21"/>
        </w:rPr>
        <w:t>不可使用内部模型法的交易台的资本要求(Cu)</w:t>
      </w:r>
      <w:r>
        <w:rPr>
          <w:rFonts w:ascii="宋体" w:hAnsi="宋体"/>
          <w:szCs w:val="21"/>
        </w:rPr>
        <w:t>]</w:t>
      </w:r>
      <w:r>
        <w:rPr>
          <w:rFonts w:hint="eastAsia" w:ascii="宋体" w:hAnsi="宋体"/>
          <w:szCs w:val="21"/>
        </w:rPr>
        <w:t>：指填报机构未经验收通过或已经验收通过但不符合内部模型法使用条件的交易台按标准法计算的资本要求。</w:t>
      </w:r>
    </w:p>
    <w:p>
      <w:pPr>
        <w:tabs>
          <w:tab w:val="left" w:pos="720"/>
        </w:tabs>
        <w:spacing w:line="440" w:lineRule="exact"/>
        <w:ind w:firstLine="472" w:firstLineChars="225"/>
        <w:rPr>
          <w:rFonts w:ascii="宋体" w:hAnsi="宋体"/>
          <w:szCs w:val="21"/>
        </w:rPr>
      </w:pPr>
      <w:r>
        <w:rPr>
          <w:rFonts w:ascii="宋体" w:hAnsi="宋体"/>
          <w:szCs w:val="21"/>
        </w:rPr>
        <w:t>[2.1</w:t>
      </w:r>
      <w:r>
        <w:rPr>
          <w:rFonts w:hint="eastAsia" w:ascii="宋体" w:hAnsi="宋体"/>
          <w:szCs w:val="21"/>
        </w:rPr>
        <w:t>基于敏感度法的资本要求</w:t>
      </w:r>
      <w:r>
        <w:rPr>
          <w:rFonts w:ascii="宋体" w:hAnsi="宋体"/>
          <w:szCs w:val="21"/>
        </w:rPr>
        <w:t>]</w:t>
      </w:r>
      <w:r>
        <w:rPr>
          <w:rFonts w:hint="eastAsia" w:ascii="宋体" w:hAnsi="宋体"/>
          <w:szCs w:val="21"/>
        </w:rPr>
        <w:t>：指对于不可使用内部模型法的交易台，填报机构采用基于敏感度方法计量的资本要求。基于敏感度方法的资本要求由三部分加总：得尔塔资本要求、维伽资本要求及曲度资本要求。在加总资本要求时应考虑风险因子间与风险组间的相关性，以反映分散化效应。在金融压力时期相关性会上升或下降，填报机构应分别计算高、中、低三种相关性情形下的资本要求，并取资本加总口径的最大值作为基于敏感度方法下的风险资本要求。</w:t>
      </w:r>
    </w:p>
    <w:p>
      <w:pPr>
        <w:tabs>
          <w:tab w:val="left" w:pos="720"/>
        </w:tabs>
        <w:spacing w:line="440" w:lineRule="exact"/>
        <w:ind w:firstLine="472" w:firstLineChars="225"/>
        <w:rPr>
          <w:rFonts w:ascii="宋体" w:hAnsi="宋体"/>
          <w:szCs w:val="21"/>
        </w:rPr>
      </w:pPr>
      <w:r>
        <w:rPr>
          <w:rFonts w:ascii="宋体" w:hAnsi="宋体"/>
          <w:szCs w:val="21"/>
        </w:rPr>
        <w:t>[2.1.1</w:t>
      </w:r>
      <w:r>
        <w:rPr>
          <w:rFonts w:hint="eastAsia" w:ascii="宋体" w:hAnsi="宋体"/>
          <w:szCs w:val="21"/>
        </w:rPr>
        <w:t>一般利率风险</w:t>
      </w:r>
      <w:r>
        <w:rPr>
          <w:rFonts w:ascii="宋体" w:hAnsi="宋体"/>
          <w:szCs w:val="21"/>
        </w:rPr>
        <w:t>]</w:t>
      </w:r>
      <w:r>
        <w:rPr>
          <w:rFonts w:hint="eastAsia" w:ascii="宋体" w:hAnsi="宋体"/>
          <w:szCs w:val="21"/>
        </w:rPr>
        <w:t>：指对于不可使用内部模型法的交易台，填报机构一般利率风险资本要求金额。一般利率市场风险是指交易账簿中的工具因一般利率的风险因子不利变动而使填报机构表内和表外业务发生损失的风险。</w:t>
      </w:r>
    </w:p>
    <w:p>
      <w:pPr>
        <w:tabs>
          <w:tab w:val="left" w:pos="720"/>
        </w:tabs>
        <w:spacing w:line="440" w:lineRule="exact"/>
        <w:ind w:firstLine="472" w:firstLineChars="225"/>
        <w:rPr>
          <w:rFonts w:ascii="宋体" w:hAnsi="宋体"/>
          <w:szCs w:val="21"/>
        </w:rPr>
      </w:pPr>
      <w:r>
        <w:rPr>
          <w:rFonts w:ascii="宋体" w:hAnsi="宋体"/>
          <w:szCs w:val="21"/>
        </w:rPr>
        <w:t>[2.1.2</w:t>
      </w:r>
      <w:r>
        <w:rPr>
          <w:rFonts w:hint="eastAsia" w:ascii="宋体" w:hAnsi="宋体"/>
          <w:szCs w:val="21"/>
        </w:rPr>
        <w:t>股票风险</w:t>
      </w:r>
      <w:r>
        <w:rPr>
          <w:rFonts w:ascii="宋体" w:hAnsi="宋体"/>
          <w:szCs w:val="21"/>
        </w:rPr>
        <w:t>]</w:t>
      </w:r>
      <w:r>
        <w:rPr>
          <w:rFonts w:hint="eastAsia" w:ascii="宋体" w:hAnsi="宋体"/>
          <w:szCs w:val="21"/>
        </w:rPr>
        <w:t>：指对于不可使用内部模型法的交易台，填报机构股票风险资本要求金额。股票风险是指交易账簿中的工具因股票的风险因子出现的不利波动带来的表内外业务发生损失的风险。</w:t>
      </w:r>
    </w:p>
    <w:p>
      <w:pPr>
        <w:tabs>
          <w:tab w:val="left" w:pos="720"/>
        </w:tabs>
        <w:spacing w:line="440" w:lineRule="exact"/>
        <w:ind w:firstLine="472" w:firstLineChars="225"/>
        <w:rPr>
          <w:rFonts w:ascii="宋体" w:hAnsi="宋体"/>
          <w:szCs w:val="21"/>
        </w:rPr>
      </w:pPr>
      <w:r>
        <w:rPr>
          <w:rFonts w:ascii="宋体" w:hAnsi="宋体"/>
          <w:szCs w:val="21"/>
        </w:rPr>
        <w:t>[2.1.3</w:t>
      </w:r>
      <w:r>
        <w:rPr>
          <w:rFonts w:hint="eastAsia" w:ascii="宋体" w:hAnsi="宋体"/>
          <w:szCs w:val="21"/>
        </w:rPr>
        <w:t>商品风险</w:t>
      </w:r>
      <w:r>
        <w:rPr>
          <w:rFonts w:ascii="宋体" w:hAnsi="宋体"/>
          <w:szCs w:val="21"/>
        </w:rPr>
        <w:t>]</w:t>
      </w:r>
      <w:r>
        <w:rPr>
          <w:rFonts w:hint="eastAsia" w:ascii="宋体" w:hAnsi="宋体"/>
          <w:szCs w:val="21"/>
        </w:rPr>
        <w:t>：指对于不可使用内部模型法的交易台，填报机构商品风险资本要求金额。商品风险是指交易账簿及银行账簿中的工具因商品的风险因子出现的不利波动带来的表内外业务发生损失的风险。</w:t>
      </w:r>
    </w:p>
    <w:p>
      <w:pPr>
        <w:tabs>
          <w:tab w:val="left" w:pos="720"/>
        </w:tabs>
        <w:spacing w:line="440" w:lineRule="exact"/>
        <w:ind w:firstLine="472" w:firstLineChars="225"/>
        <w:rPr>
          <w:rFonts w:ascii="宋体" w:hAnsi="宋体"/>
          <w:szCs w:val="21"/>
        </w:rPr>
      </w:pPr>
      <w:r>
        <w:rPr>
          <w:rFonts w:ascii="宋体" w:hAnsi="宋体"/>
          <w:szCs w:val="21"/>
        </w:rPr>
        <w:t>[2.1.4</w:t>
      </w:r>
      <w:r>
        <w:rPr>
          <w:rFonts w:hint="eastAsia" w:ascii="宋体" w:hAnsi="宋体"/>
          <w:szCs w:val="21"/>
        </w:rPr>
        <w:t>汇率风险</w:t>
      </w:r>
      <w:r>
        <w:rPr>
          <w:rFonts w:ascii="宋体" w:hAnsi="宋体"/>
          <w:szCs w:val="21"/>
        </w:rPr>
        <w:t>]</w:t>
      </w:r>
      <w:r>
        <w:rPr>
          <w:rFonts w:hint="eastAsia" w:ascii="宋体" w:hAnsi="宋体"/>
          <w:szCs w:val="21"/>
        </w:rPr>
        <w:t>：指对于不可使用内部模型法的交易台，填报机构汇率风险资本要求金额。汇率风险是指交易账簿及银行账簿中的工具因汇率的风险因子出现的不利波动带来的表内外业务发生损失的风险。</w:t>
      </w:r>
    </w:p>
    <w:p>
      <w:pPr>
        <w:tabs>
          <w:tab w:val="left" w:pos="720"/>
        </w:tabs>
        <w:spacing w:line="440" w:lineRule="exact"/>
        <w:ind w:firstLine="472" w:firstLineChars="225"/>
        <w:rPr>
          <w:rFonts w:ascii="宋体" w:hAnsi="宋体"/>
          <w:szCs w:val="21"/>
        </w:rPr>
      </w:pPr>
      <w:r>
        <w:rPr>
          <w:rFonts w:ascii="宋体" w:hAnsi="宋体"/>
          <w:szCs w:val="21"/>
        </w:rPr>
        <w:t>[2.1.5</w:t>
      </w:r>
      <w:r>
        <w:rPr>
          <w:rFonts w:hint="eastAsia" w:ascii="宋体" w:hAnsi="宋体"/>
          <w:szCs w:val="21"/>
        </w:rPr>
        <w:t>信用利差风险-非证券化工具</w:t>
      </w:r>
      <w:r>
        <w:rPr>
          <w:rFonts w:ascii="宋体" w:hAnsi="宋体"/>
          <w:szCs w:val="21"/>
        </w:rPr>
        <w:t>]</w:t>
      </w:r>
      <w:r>
        <w:rPr>
          <w:rFonts w:hint="eastAsia" w:ascii="宋体" w:hAnsi="宋体"/>
          <w:szCs w:val="21"/>
        </w:rPr>
        <w:t>：指对于不可使用内部模型法的交易台，填报机构非证券化工具的信用利差风险资本要求金额。非证券化工具的信用利差风险是指交易账簿中的非证券化工具的发行主体或参考信用实体的信用利差风险因子出现不利波动带来的表内外业务发生损失的风险。</w:t>
      </w:r>
    </w:p>
    <w:p>
      <w:pPr>
        <w:tabs>
          <w:tab w:val="left" w:pos="720"/>
        </w:tabs>
        <w:spacing w:line="440" w:lineRule="exact"/>
        <w:ind w:firstLine="472" w:firstLineChars="225"/>
        <w:rPr>
          <w:szCs w:val="21"/>
        </w:rPr>
      </w:pPr>
      <w:r>
        <w:rPr>
          <w:rFonts w:ascii="宋体" w:hAnsi="宋体"/>
          <w:szCs w:val="21"/>
        </w:rPr>
        <w:t>[2.1.6</w:t>
      </w:r>
      <w:r>
        <w:rPr>
          <w:rFonts w:hint="eastAsia" w:ascii="宋体" w:hAnsi="宋体"/>
          <w:szCs w:val="21"/>
        </w:rPr>
        <w:t>信用利差风险-证券化工具（非相关性交易组合）</w:t>
      </w:r>
      <w:r>
        <w:rPr>
          <w:rFonts w:ascii="宋体" w:hAnsi="宋体"/>
          <w:szCs w:val="21"/>
        </w:rPr>
        <w:t>]</w:t>
      </w:r>
      <w:r>
        <w:rPr>
          <w:rFonts w:hint="eastAsia" w:ascii="宋体" w:hAnsi="宋体"/>
          <w:szCs w:val="21"/>
        </w:rPr>
        <w:t>：指对于不可使用内部模型法的交易台，填报机构非相关性交易组合证券化工具的信用利差风险资本要求金额。非相关性交易组合证券化工具的信用利差风险是指交易账簿中的非相关性交易组合证券化工具各层级的信用利差风险因子出现不利波动带来的表内外业务发生损失的风险。非相关性交易组合证券化工具是指不满足</w:t>
      </w:r>
      <w:r>
        <w:rPr>
          <w:rFonts w:hint="eastAsia"/>
          <w:szCs w:val="21"/>
        </w:rPr>
        <w:t>《办法》</w:t>
      </w:r>
      <w:r>
        <w:rPr>
          <w:rFonts w:hint="eastAsia" w:ascii="宋体" w:hAnsi="宋体"/>
          <w:szCs w:val="21"/>
        </w:rPr>
        <w:t>附件13</w:t>
      </w:r>
      <w:r>
        <w:rPr>
          <w:rFonts w:ascii="宋体" w:hAnsi="宋体"/>
          <w:szCs w:val="21"/>
        </w:rPr>
        <w:t xml:space="preserve"> </w:t>
      </w:r>
      <w:r>
        <w:rPr>
          <w:rFonts w:hint="eastAsia" w:ascii="宋体" w:hAnsi="宋体"/>
          <w:szCs w:val="21"/>
        </w:rPr>
        <w:t>中相关性交易组合定义的证券化工具。</w:t>
      </w:r>
    </w:p>
    <w:p>
      <w:pPr>
        <w:tabs>
          <w:tab w:val="left" w:pos="720"/>
        </w:tabs>
        <w:spacing w:line="440" w:lineRule="exact"/>
        <w:ind w:firstLine="472" w:firstLineChars="225"/>
        <w:rPr>
          <w:rFonts w:ascii="宋体" w:hAnsi="宋体"/>
          <w:szCs w:val="21"/>
        </w:rPr>
      </w:pPr>
      <w:r>
        <w:rPr>
          <w:rFonts w:ascii="宋体" w:hAnsi="宋体"/>
          <w:szCs w:val="21"/>
        </w:rPr>
        <w:t>[2.1.7</w:t>
      </w:r>
      <w:r>
        <w:rPr>
          <w:rFonts w:hint="eastAsia" w:ascii="宋体" w:hAnsi="宋体"/>
          <w:szCs w:val="21"/>
        </w:rPr>
        <w:t>信用利差风险-证券化工具（相关性交易组合）</w:t>
      </w:r>
      <w:r>
        <w:rPr>
          <w:rFonts w:ascii="宋体" w:hAnsi="宋体"/>
          <w:szCs w:val="21"/>
        </w:rPr>
        <w:t>]</w:t>
      </w:r>
      <w:r>
        <w:rPr>
          <w:rFonts w:hint="eastAsia" w:ascii="宋体" w:hAnsi="宋体"/>
          <w:szCs w:val="21"/>
        </w:rPr>
        <w:t>：指对于不可使用内部模型法的交易台，填报机构相关性交易组合证券化工具的信用利差风险资本要求金额。相关性交易组合证券化工具的信用利差风险是指交易账簿中的相关性交易组合证券化工具各层级的信用利差风险因子出现不利波动带来的表内外业务发生损失的风险。相关性交易组合证券化工具应满足</w:t>
      </w:r>
      <w:r>
        <w:rPr>
          <w:rFonts w:hint="eastAsia"/>
          <w:szCs w:val="21"/>
        </w:rPr>
        <w:t>《办法》</w:t>
      </w:r>
      <w:r>
        <w:rPr>
          <w:rFonts w:hint="eastAsia" w:ascii="宋体" w:hAnsi="宋体"/>
          <w:szCs w:val="21"/>
        </w:rPr>
        <w:t>附件13</w:t>
      </w:r>
      <w:r>
        <w:rPr>
          <w:rFonts w:ascii="宋体" w:hAnsi="宋体"/>
          <w:szCs w:val="21"/>
        </w:rPr>
        <w:t xml:space="preserve"> </w:t>
      </w:r>
      <w:r>
        <w:rPr>
          <w:rFonts w:hint="eastAsia" w:ascii="宋体" w:hAnsi="宋体"/>
          <w:szCs w:val="21"/>
        </w:rPr>
        <w:t>中关于相关性交易组合的定义。</w:t>
      </w:r>
    </w:p>
    <w:p>
      <w:pPr>
        <w:tabs>
          <w:tab w:val="left" w:pos="720"/>
        </w:tabs>
        <w:spacing w:line="440" w:lineRule="exact"/>
        <w:ind w:firstLine="472" w:firstLineChars="225"/>
        <w:rPr>
          <w:rFonts w:ascii="宋体" w:hAnsi="宋体"/>
          <w:szCs w:val="21"/>
        </w:rPr>
      </w:pPr>
      <w:r>
        <w:rPr>
          <w:rFonts w:ascii="宋体" w:hAnsi="宋体"/>
          <w:szCs w:val="21"/>
        </w:rPr>
        <w:t>[2.2</w:t>
      </w:r>
      <w:r>
        <w:rPr>
          <w:rFonts w:hint="eastAsia" w:ascii="宋体" w:hAnsi="宋体"/>
          <w:szCs w:val="21"/>
        </w:rPr>
        <w:t>违约风险资本要求</w:t>
      </w:r>
      <w:r>
        <w:rPr>
          <w:rFonts w:ascii="宋体" w:hAnsi="宋体"/>
          <w:szCs w:val="21"/>
        </w:rPr>
        <w:t>]</w:t>
      </w:r>
      <w:r>
        <w:rPr>
          <w:rFonts w:hint="eastAsia" w:ascii="宋体" w:hAnsi="宋体"/>
          <w:szCs w:val="21"/>
        </w:rPr>
        <w:t>：指对于不可使用内部模型法的交易台，</w:t>
      </w:r>
      <w:r>
        <w:rPr>
          <w:rFonts w:ascii="宋体" w:hAnsi="宋体"/>
          <w:szCs w:val="21"/>
        </w:rPr>
        <w:t>填报机构</w:t>
      </w:r>
      <w:r>
        <w:rPr>
          <w:rFonts w:hint="eastAsia" w:ascii="宋体" w:hAnsi="宋体"/>
          <w:szCs w:val="21"/>
        </w:rPr>
        <w:t>的违约风险资本要求金额。违约风险资本用于抵御基于敏感度方法的信用利差没有捕捉到的违约风险。</w:t>
      </w:r>
    </w:p>
    <w:p>
      <w:pPr>
        <w:tabs>
          <w:tab w:val="left" w:pos="720"/>
        </w:tabs>
        <w:spacing w:line="440" w:lineRule="exact"/>
        <w:ind w:firstLine="472" w:firstLineChars="225"/>
        <w:rPr>
          <w:rFonts w:ascii="宋体" w:hAnsi="宋体"/>
          <w:szCs w:val="21"/>
        </w:rPr>
      </w:pPr>
      <w:r>
        <w:rPr>
          <w:rFonts w:hint="eastAsia" w:ascii="宋体" w:hAnsi="宋体"/>
          <w:szCs w:val="21"/>
        </w:rPr>
        <w:t>存在违约风险的以下工具应计算违约风险资本要求：</w:t>
      </w:r>
    </w:p>
    <w:p>
      <w:pPr>
        <w:tabs>
          <w:tab w:val="left" w:pos="720"/>
        </w:tabs>
        <w:spacing w:line="440" w:lineRule="exact"/>
        <w:ind w:firstLine="472" w:firstLineChars="225"/>
        <w:rPr>
          <w:rFonts w:ascii="宋体" w:hAnsi="宋体"/>
          <w:szCs w:val="21"/>
        </w:rPr>
      </w:pPr>
      <w:r>
        <w:rPr>
          <w:rFonts w:hint="eastAsia"/>
          <w:szCs w:val="21"/>
        </w:rPr>
        <w:t>1．</w:t>
      </w:r>
      <w:r>
        <w:rPr>
          <w:rFonts w:hint="eastAsia" w:ascii="宋体" w:hAnsi="宋体"/>
          <w:szCs w:val="21"/>
        </w:rPr>
        <w:t>非证券化的资产组合；</w:t>
      </w:r>
    </w:p>
    <w:p>
      <w:pPr>
        <w:tabs>
          <w:tab w:val="left" w:pos="720"/>
        </w:tabs>
        <w:spacing w:line="440" w:lineRule="exact"/>
        <w:ind w:firstLine="472" w:firstLineChars="225"/>
        <w:rPr>
          <w:rFonts w:ascii="宋体" w:hAnsi="宋体"/>
          <w:szCs w:val="21"/>
        </w:rPr>
      </w:pPr>
      <w:r>
        <w:rPr>
          <w:szCs w:val="21"/>
        </w:rPr>
        <w:t>2</w:t>
      </w:r>
      <w:r>
        <w:rPr>
          <w:rFonts w:hint="eastAsia"/>
          <w:szCs w:val="21"/>
        </w:rPr>
        <w:t>．</w:t>
      </w:r>
      <w:r>
        <w:rPr>
          <w:rFonts w:hint="eastAsia" w:ascii="宋体" w:hAnsi="宋体"/>
          <w:szCs w:val="21"/>
        </w:rPr>
        <w:t>证券化资产组合（非相关性交易组合，non-CTP）；</w:t>
      </w:r>
    </w:p>
    <w:p>
      <w:pPr>
        <w:tabs>
          <w:tab w:val="left" w:pos="720"/>
        </w:tabs>
        <w:spacing w:line="440" w:lineRule="exact"/>
        <w:ind w:firstLine="472" w:firstLineChars="225"/>
        <w:rPr>
          <w:rFonts w:ascii="宋体" w:hAnsi="宋体"/>
          <w:szCs w:val="21"/>
        </w:rPr>
      </w:pPr>
      <w:r>
        <w:rPr>
          <w:szCs w:val="21"/>
        </w:rPr>
        <w:t>3</w:t>
      </w:r>
      <w:r>
        <w:rPr>
          <w:rFonts w:hint="eastAsia"/>
          <w:szCs w:val="21"/>
        </w:rPr>
        <w:t>．</w:t>
      </w:r>
      <w:r>
        <w:rPr>
          <w:rFonts w:hint="eastAsia" w:ascii="宋体" w:hAnsi="宋体"/>
          <w:szCs w:val="21"/>
        </w:rPr>
        <w:t>证券化资产组合（相关性交易组合，CTP）。</w:t>
      </w:r>
    </w:p>
    <w:p>
      <w:pPr>
        <w:tabs>
          <w:tab w:val="left" w:pos="720"/>
        </w:tabs>
        <w:spacing w:line="440" w:lineRule="exact"/>
        <w:ind w:firstLine="472" w:firstLineChars="225"/>
        <w:rPr>
          <w:szCs w:val="21"/>
        </w:rPr>
      </w:pPr>
      <w:r>
        <w:rPr>
          <w:rFonts w:hint="eastAsia"/>
          <w:szCs w:val="21"/>
        </w:rPr>
        <w:t>违约风险资本要求的计算步骤如下：</w:t>
      </w:r>
    </w:p>
    <w:p>
      <w:pPr>
        <w:tabs>
          <w:tab w:val="left" w:pos="720"/>
        </w:tabs>
        <w:spacing w:line="440" w:lineRule="exact"/>
        <w:ind w:firstLine="472" w:firstLineChars="225"/>
        <w:rPr>
          <w:szCs w:val="21"/>
        </w:rPr>
      </w:pPr>
      <w:r>
        <w:rPr>
          <w:rFonts w:hint="eastAsia"/>
          <w:szCs w:val="21"/>
        </w:rPr>
        <w:t>1．计算每个风险暴露的违约风险头寸。</w:t>
      </w:r>
    </w:p>
    <w:p>
      <w:pPr>
        <w:tabs>
          <w:tab w:val="left" w:pos="720"/>
        </w:tabs>
        <w:spacing w:line="440" w:lineRule="exact"/>
        <w:ind w:firstLine="472" w:firstLineChars="225"/>
        <w:rPr>
          <w:szCs w:val="21"/>
        </w:rPr>
      </w:pPr>
      <w:r>
        <w:rPr>
          <w:szCs w:val="21"/>
        </w:rPr>
        <w:t>2</w:t>
      </w:r>
      <w:r>
        <w:rPr>
          <w:rFonts w:hint="eastAsia"/>
          <w:szCs w:val="21"/>
        </w:rPr>
        <w:t>．对于同一债务人，空头和多头的违约风险头寸在符合条件的情况下抵消，得出净多头风险头寸和净空头风险头寸。</w:t>
      </w:r>
    </w:p>
    <w:p>
      <w:pPr>
        <w:tabs>
          <w:tab w:val="left" w:pos="720"/>
        </w:tabs>
        <w:spacing w:line="440" w:lineRule="exact"/>
        <w:ind w:firstLine="472" w:firstLineChars="225"/>
        <w:rPr>
          <w:szCs w:val="21"/>
        </w:rPr>
      </w:pPr>
      <w:r>
        <w:rPr>
          <w:szCs w:val="21"/>
        </w:rPr>
        <w:t>3</w:t>
      </w:r>
      <w:r>
        <w:rPr>
          <w:rFonts w:hint="eastAsia"/>
          <w:szCs w:val="21"/>
        </w:rPr>
        <w:t>．将净风险头寸分配到不同的风险组中。</w:t>
      </w:r>
    </w:p>
    <w:p>
      <w:pPr>
        <w:tabs>
          <w:tab w:val="left" w:pos="720"/>
        </w:tabs>
        <w:spacing w:line="440" w:lineRule="exact"/>
        <w:ind w:firstLine="472" w:firstLineChars="225"/>
        <w:rPr>
          <w:szCs w:val="21"/>
        </w:rPr>
      </w:pPr>
      <w:r>
        <w:rPr>
          <w:szCs w:val="21"/>
        </w:rPr>
        <w:t>4</w:t>
      </w:r>
      <w:r>
        <w:rPr>
          <w:rFonts w:hint="eastAsia"/>
          <w:szCs w:val="21"/>
        </w:rPr>
        <w:t>．同一个风险组中，将净风险头寸乘以风险权重，通过对冲效益比例进行对冲处理，得出各风险组违约风险资本要求。</w:t>
      </w:r>
    </w:p>
    <w:p>
      <w:pPr>
        <w:tabs>
          <w:tab w:val="left" w:pos="720"/>
        </w:tabs>
        <w:spacing w:line="440" w:lineRule="exact"/>
        <w:ind w:firstLine="472" w:firstLineChars="225"/>
        <w:rPr>
          <w:szCs w:val="21"/>
        </w:rPr>
      </w:pPr>
      <w:r>
        <w:rPr>
          <w:szCs w:val="21"/>
        </w:rPr>
        <w:t>5</w:t>
      </w:r>
      <w:r>
        <w:rPr>
          <w:rFonts w:hint="eastAsia"/>
          <w:szCs w:val="21"/>
        </w:rPr>
        <w:t>．各风险组的违约风险资本要求汇总得到整体违约风险资本要求。</w:t>
      </w:r>
    </w:p>
    <w:p>
      <w:pPr>
        <w:tabs>
          <w:tab w:val="left" w:pos="720"/>
        </w:tabs>
        <w:spacing w:line="440" w:lineRule="exact"/>
        <w:ind w:firstLine="472" w:firstLineChars="225"/>
        <w:rPr>
          <w:szCs w:val="21"/>
        </w:rPr>
      </w:pPr>
      <w:r>
        <w:rPr>
          <w:rFonts w:ascii="宋体" w:hAnsi="宋体"/>
          <w:szCs w:val="21"/>
        </w:rPr>
        <w:t>[2.2.1</w:t>
      </w:r>
      <w:r>
        <w:rPr>
          <w:rFonts w:hint="eastAsia" w:ascii="宋体" w:hAnsi="宋体"/>
          <w:szCs w:val="21"/>
        </w:rPr>
        <w:t>违约风险-非证券化工具</w:t>
      </w:r>
      <w:r>
        <w:rPr>
          <w:rFonts w:ascii="宋体" w:hAnsi="宋体"/>
          <w:szCs w:val="21"/>
        </w:rPr>
        <w:t>]</w:t>
      </w:r>
      <w:r>
        <w:rPr>
          <w:rFonts w:hint="eastAsia" w:ascii="宋体" w:hAnsi="宋体"/>
          <w:szCs w:val="21"/>
        </w:rPr>
        <w:t>：指对于不可使用内部模型法的交易台，</w:t>
      </w:r>
      <w:r>
        <w:rPr>
          <w:rFonts w:ascii="宋体" w:hAnsi="宋体"/>
          <w:szCs w:val="21"/>
        </w:rPr>
        <w:t>填报机构</w:t>
      </w:r>
      <w:r>
        <w:rPr>
          <w:rFonts w:hint="eastAsia" w:ascii="宋体" w:hAnsi="宋体"/>
          <w:szCs w:val="21"/>
        </w:rPr>
        <w:t>交易账簿中的非证券化产品的违约风险资本要求金额。</w:t>
      </w:r>
    </w:p>
    <w:p>
      <w:pPr>
        <w:tabs>
          <w:tab w:val="left" w:pos="720"/>
        </w:tabs>
        <w:spacing w:line="440" w:lineRule="exact"/>
        <w:ind w:firstLine="472" w:firstLineChars="225"/>
        <w:rPr>
          <w:szCs w:val="21"/>
        </w:rPr>
      </w:pPr>
      <w:r>
        <w:rPr>
          <w:rFonts w:ascii="宋体" w:hAnsi="宋体"/>
          <w:szCs w:val="21"/>
        </w:rPr>
        <w:t>[2.2.</w:t>
      </w:r>
      <w:r>
        <w:rPr>
          <w:rFonts w:hint="eastAsia" w:ascii="宋体" w:hAnsi="宋体"/>
          <w:szCs w:val="21"/>
        </w:rPr>
        <w:t>2违约风险-证券化工具（非相关性交易组合）</w:t>
      </w:r>
      <w:r>
        <w:rPr>
          <w:rFonts w:ascii="宋体" w:hAnsi="宋体"/>
          <w:szCs w:val="21"/>
        </w:rPr>
        <w:t>]</w:t>
      </w:r>
      <w:r>
        <w:rPr>
          <w:rFonts w:hint="eastAsia" w:ascii="宋体" w:hAnsi="宋体"/>
          <w:szCs w:val="21"/>
        </w:rPr>
        <w:t>：指对于不可使用内部模型法的交易台，填报机构交易账簿中非相关性交易组合证券化工具的违约风险资本要求金额。</w:t>
      </w:r>
    </w:p>
    <w:p>
      <w:pPr>
        <w:tabs>
          <w:tab w:val="left" w:pos="720"/>
        </w:tabs>
        <w:spacing w:line="440" w:lineRule="exact"/>
        <w:ind w:firstLine="472" w:firstLineChars="225"/>
        <w:rPr>
          <w:szCs w:val="21"/>
        </w:rPr>
      </w:pPr>
      <w:r>
        <w:rPr>
          <w:rFonts w:ascii="宋体" w:hAnsi="宋体"/>
          <w:szCs w:val="21"/>
        </w:rPr>
        <w:t>[2.2.3</w:t>
      </w:r>
      <w:r>
        <w:rPr>
          <w:rFonts w:hint="eastAsia" w:ascii="宋体" w:hAnsi="宋体"/>
          <w:szCs w:val="21"/>
        </w:rPr>
        <w:t>违约风险-证券化工具（相关性交易组合）</w:t>
      </w:r>
      <w:r>
        <w:rPr>
          <w:rFonts w:ascii="宋体" w:hAnsi="宋体"/>
          <w:szCs w:val="21"/>
        </w:rPr>
        <w:t>]</w:t>
      </w:r>
      <w:r>
        <w:rPr>
          <w:rFonts w:hint="eastAsia" w:ascii="宋体" w:hAnsi="宋体"/>
          <w:szCs w:val="21"/>
        </w:rPr>
        <w:t>：指对于不可使用内部模型法的交易台，填报机构交易账簿中相关性交易组合证券化工具的违约风险资本要求金额。</w:t>
      </w:r>
    </w:p>
    <w:p>
      <w:pPr>
        <w:spacing w:line="440" w:lineRule="exact"/>
        <w:ind w:firstLine="472" w:firstLineChars="225"/>
        <w:rPr>
          <w:szCs w:val="21"/>
        </w:rPr>
      </w:pPr>
      <w:r>
        <w:rPr>
          <w:rFonts w:ascii="宋体" w:hAnsi="宋体"/>
          <w:szCs w:val="21"/>
        </w:rPr>
        <w:t>[2.3</w:t>
      </w:r>
      <w:r>
        <w:rPr>
          <w:rFonts w:hint="eastAsia" w:ascii="宋体" w:hAnsi="宋体"/>
          <w:szCs w:val="21"/>
        </w:rPr>
        <w:t>剩余风险附加资本要求</w:t>
      </w:r>
      <w:r>
        <w:rPr>
          <w:rFonts w:ascii="宋体" w:hAnsi="宋体"/>
          <w:szCs w:val="21"/>
        </w:rPr>
        <w:t>]</w:t>
      </w:r>
      <w:r>
        <w:rPr>
          <w:rFonts w:hint="eastAsia" w:ascii="宋体" w:hAnsi="宋体"/>
          <w:szCs w:val="21"/>
        </w:rPr>
        <w:t>：对于不可使用内部模型法的交易台，</w:t>
      </w:r>
      <w:r>
        <w:rPr>
          <w:rFonts w:ascii="宋体" w:hAnsi="宋体"/>
          <w:szCs w:val="21"/>
        </w:rPr>
        <w:t>填报机构</w:t>
      </w:r>
      <w:r>
        <w:rPr>
          <w:rFonts w:hint="eastAsia" w:ascii="宋体" w:hAnsi="宋体"/>
          <w:szCs w:val="21"/>
        </w:rPr>
        <w:t>的剩余风险附加资本要求金额。具有剩余风险的工具包括标的为奇异性资产的工具和承担其他剩余风险的工具。</w:t>
      </w:r>
    </w:p>
    <w:p>
      <w:pPr>
        <w:tabs>
          <w:tab w:val="left" w:pos="720"/>
        </w:tabs>
        <w:spacing w:line="440" w:lineRule="exact"/>
        <w:ind w:firstLine="472" w:firstLineChars="225"/>
        <w:rPr>
          <w:rFonts w:ascii="宋体" w:hAnsi="宋体"/>
          <w:szCs w:val="21"/>
        </w:rPr>
      </w:pPr>
      <w:r>
        <w:rPr>
          <w:rFonts w:ascii="宋体" w:hAnsi="宋体"/>
          <w:szCs w:val="21"/>
        </w:rPr>
        <w:t>[3.</w:t>
      </w:r>
      <w:r>
        <w:rPr>
          <w:rFonts w:hint="eastAsia" w:ascii="宋体" w:hAnsi="宋体"/>
          <w:szCs w:val="21"/>
        </w:rPr>
        <w:t>资本附加(Capital Surcharge)</w:t>
      </w:r>
      <w:r>
        <w:rPr>
          <w:rFonts w:ascii="宋体" w:hAnsi="宋体"/>
          <w:szCs w:val="21"/>
        </w:rPr>
        <w:t>]</w:t>
      </w:r>
      <w:r>
        <w:rPr>
          <w:rFonts w:hint="eastAsia" w:ascii="宋体" w:hAnsi="宋体"/>
          <w:szCs w:val="21"/>
        </w:rPr>
        <w:t>：指填报机构使用内部模型法的资本附加要求。如果有一个或以上符合条件的交易台落入损益归因测试黄色区域，则会施加资本附加。资本附加计算公式如下：</w:t>
      </w:r>
    </w:p>
    <w:p>
      <w:pPr>
        <w:tabs>
          <w:tab w:val="left" w:pos="720"/>
        </w:tabs>
        <w:spacing w:line="440" w:lineRule="exact"/>
        <w:ind w:firstLine="472" w:firstLineChars="225"/>
        <w:rPr>
          <w:rFonts w:ascii="宋体" w:hAnsi="宋体"/>
          <w:szCs w:val="21"/>
        </w:rPr>
      </w:pPr>
      <w:r>
        <w:rPr>
          <w:rFonts w:ascii="宋体" w:hAnsi="宋体"/>
          <w:szCs w:val="21"/>
        </w:rPr>
        <w:t xml:space="preserve">资本附加= </w:t>
      </w:r>
      <w:r>
        <w:drawing>
          <wp:inline distT="0" distB="0" distL="114300" distR="114300">
            <wp:extent cx="1617980" cy="232410"/>
            <wp:effectExtent l="0" t="0" r="1270" b="15240"/>
            <wp:docPr id="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pic:cNvPicPr>
                      <a:picLocks noChangeAspect="1"/>
                    </pic:cNvPicPr>
                  </pic:nvPicPr>
                  <pic:blipFill>
                    <a:blip r:embed="rId23"/>
                    <a:stretch>
                      <a:fillRect/>
                    </a:stretch>
                  </pic:blipFill>
                  <pic:spPr>
                    <a:xfrm>
                      <a:off x="0" y="0"/>
                      <a:ext cx="1617980" cy="232410"/>
                    </a:xfrm>
                    <a:prstGeom prst="rect">
                      <a:avLst/>
                    </a:prstGeom>
                    <a:noFill/>
                    <a:ln>
                      <a:noFill/>
                    </a:ln>
                  </pic:spPr>
                </pic:pic>
              </a:graphicData>
            </a:graphic>
          </wp:inline>
        </w:drawing>
      </w:r>
      <w:r>
        <w:rPr>
          <w:rFonts w:ascii="宋体" w:hAnsi="宋体"/>
          <w:szCs w:val="21"/>
        </w:rPr>
        <w:t xml:space="preserve"> </w:t>
      </w:r>
    </w:p>
    <w:p>
      <w:pPr>
        <w:tabs>
          <w:tab w:val="left" w:pos="720"/>
        </w:tabs>
        <w:spacing w:line="440" w:lineRule="exact"/>
        <w:ind w:firstLine="472" w:firstLineChars="225"/>
        <w:rPr>
          <w:rFonts w:ascii="宋体" w:hAnsi="宋体"/>
          <w:szCs w:val="21"/>
        </w:rPr>
      </w:pPr>
      <w:r>
        <w:rPr>
          <w:rFonts w:hint="eastAsia" w:ascii="宋体" w:hAnsi="宋体"/>
          <w:szCs w:val="21"/>
        </w:rPr>
        <w:t>其中：</w:t>
      </w:r>
    </w:p>
    <w:p>
      <w:pPr>
        <w:tabs>
          <w:tab w:val="left" w:pos="720"/>
        </w:tabs>
        <w:ind w:firstLine="472" w:firstLineChars="225"/>
        <w:rPr>
          <w:rFonts w:ascii="宋体" w:hAnsi="宋体"/>
          <w:szCs w:val="21"/>
        </w:rPr>
      </w:pPr>
      <w:r>
        <w:rPr>
          <w:rFonts w:ascii="宋体" w:hAnsi="宋体"/>
          <w:szCs w:val="21"/>
        </w:rPr>
        <w:t>1．</w:t>
      </w:r>
      <w:r>
        <w:drawing>
          <wp:inline distT="0" distB="0" distL="114300" distR="114300">
            <wp:extent cx="1083310" cy="438150"/>
            <wp:effectExtent l="0" t="0" r="2540" b="0"/>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24"/>
                    <a:stretch>
                      <a:fillRect/>
                    </a:stretch>
                  </pic:blipFill>
                  <pic:spPr>
                    <a:xfrm>
                      <a:off x="0" y="0"/>
                      <a:ext cx="1083310" cy="438150"/>
                    </a:xfrm>
                    <a:prstGeom prst="rect">
                      <a:avLst/>
                    </a:prstGeom>
                    <a:noFill/>
                    <a:ln>
                      <a:noFill/>
                    </a:ln>
                  </pic:spPr>
                </pic:pic>
              </a:graphicData>
            </a:graphic>
          </wp:inline>
        </w:drawing>
      </w:r>
      <w:r>
        <w:rPr>
          <w:rFonts w:ascii="宋体" w:hAnsi="宋体"/>
          <w:szCs w:val="21"/>
        </w:rPr>
        <w:t xml:space="preserve"> </w:t>
      </w:r>
      <w:r>
        <w:rPr>
          <w:rFonts w:hint="eastAsia" w:ascii="宋体" w:hAnsi="宋体"/>
          <w:szCs w:val="21"/>
        </w:rPr>
        <w:t>；</w:t>
      </w:r>
    </w:p>
    <w:p>
      <w:pPr>
        <w:tabs>
          <w:tab w:val="left" w:pos="720"/>
        </w:tabs>
        <w:spacing w:line="440" w:lineRule="exact"/>
        <w:ind w:firstLine="472" w:firstLineChars="225"/>
        <w:rPr>
          <w:rFonts w:ascii="宋体" w:hAnsi="宋体"/>
          <w:szCs w:val="21"/>
        </w:rPr>
      </w:pPr>
      <w:r>
        <w:rPr>
          <w:rFonts w:ascii="宋体" w:hAnsi="宋体"/>
          <w:szCs w:val="21"/>
        </w:rPr>
        <w:t>2．</w:t>
      </w:r>
      <w:r>
        <w:rPr>
          <w:rFonts w:ascii="宋体" w:hAnsi="宋体"/>
          <w:szCs w:val="21"/>
        </w:rPr>
        <w:object>
          <v:shape id="_x0000_i1031" o:spt="75" type="#_x0000_t75" style="height:16.8pt;width:24.6pt;" o:ole="t" filled="f" o:preferrelative="t" stroked="f" coordsize="21600,21600">
            <v:path/>
            <v:fill on="f" focussize="0,0"/>
            <v:stroke on="f" joinstyle="miter"/>
            <v:imagedata r:id="rId26" o:title=""/>
            <o:lock v:ext="edit" aspectratio="t"/>
            <w10:wrap type="none"/>
            <w10:anchorlock/>
          </v:shape>
          <o:OLEObject Type="Embed" ProgID="Equation.DSMT4" ShapeID="_x0000_i1031" DrawAspect="Content" ObjectID="_1468075731" r:id="rId25">
            <o:LockedField>false</o:LockedField>
          </o:OLEObject>
        </w:object>
      </w:r>
      <w:r>
        <w:rPr>
          <w:rFonts w:hint="eastAsia" w:ascii="宋体" w:hAnsi="宋体"/>
          <w:szCs w:val="21"/>
        </w:rPr>
        <w:t>为交易台i所有头寸按标准法计算的资本要求；</w:t>
      </w:r>
    </w:p>
    <w:p>
      <w:pPr>
        <w:tabs>
          <w:tab w:val="left" w:pos="720"/>
        </w:tabs>
        <w:spacing w:line="440" w:lineRule="exact"/>
        <w:ind w:firstLine="472" w:firstLineChars="225"/>
        <w:rPr>
          <w:rFonts w:ascii="宋体" w:hAnsi="宋体"/>
          <w:szCs w:val="21"/>
        </w:rPr>
      </w:pPr>
      <w:r>
        <w:rPr>
          <w:rFonts w:ascii="宋体" w:hAnsi="宋体"/>
          <w:szCs w:val="21"/>
        </w:rPr>
        <w:t>3．</w:t>
      </w:r>
      <w:r>
        <w:drawing>
          <wp:inline distT="0" distB="0" distL="114300" distR="114300">
            <wp:extent cx="377825" cy="185420"/>
            <wp:effectExtent l="0" t="0" r="3175" b="5080"/>
            <wp:docPr id="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
                    <pic:cNvPicPr>
                      <a:picLocks noChangeAspect="1"/>
                    </pic:cNvPicPr>
                  </pic:nvPicPr>
                  <pic:blipFill>
                    <a:blip r:embed="rId27"/>
                    <a:stretch>
                      <a:fillRect/>
                    </a:stretch>
                  </pic:blipFill>
                  <pic:spPr>
                    <a:xfrm>
                      <a:off x="0" y="0"/>
                      <a:ext cx="377825" cy="185420"/>
                    </a:xfrm>
                    <a:prstGeom prst="rect">
                      <a:avLst/>
                    </a:prstGeom>
                    <a:noFill/>
                    <a:ln>
                      <a:noFill/>
                    </a:ln>
                  </pic:spPr>
                </pic:pic>
              </a:graphicData>
            </a:graphic>
          </wp:inline>
        </w:drawing>
      </w:r>
      <w:r>
        <w:rPr>
          <w:rFonts w:hint="eastAsia" w:ascii="宋体" w:hAnsi="宋体"/>
          <w:szCs w:val="21"/>
        </w:rPr>
        <w:t>表示所有落入黄区的已验收通过的内部模型法交易台集合；</w:t>
      </w:r>
    </w:p>
    <w:p>
      <w:pPr>
        <w:tabs>
          <w:tab w:val="left" w:pos="720"/>
        </w:tabs>
        <w:spacing w:line="440" w:lineRule="exact"/>
        <w:ind w:firstLine="472" w:firstLineChars="225"/>
        <w:rPr>
          <w:rFonts w:ascii="宋体" w:hAnsi="宋体"/>
          <w:szCs w:val="21"/>
        </w:rPr>
      </w:pPr>
      <w:r>
        <w:rPr>
          <w:rFonts w:ascii="宋体" w:hAnsi="宋体"/>
          <w:szCs w:val="21"/>
        </w:rPr>
        <w:t>4．</w:t>
      </w:r>
      <w:r>
        <w:drawing>
          <wp:inline distT="0" distB="0" distL="114300" distR="114300">
            <wp:extent cx="410210" cy="220345"/>
            <wp:effectExtent l="0" t="0" r="8890" b="8255"/>
            <wp:docPr id="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pic:cNvPicPr>
                      <a:picLocks noChangeAspect="1"/>
                    </pic:cNvPicPr>
                  </pic:nvPicPr>
                  <pic:blipFill>
                    <a:blip r:embed="rId28"/>
                    <a:stretch>
                      <a:fillRect/>
                    </a:stretch>
                  </pic:blipFill>
                  <pic:spPr>
                    <a:xfrm>
                      <a:off x="0" y="0"/>
                      <a:ext cx="410210" cy="220345"/>
                    </a:xfrm>
                    <a:prstGeom prst="rect">
                      <a:avLst/>
                    </a:prstGeom>
                    <a:noFill/>
                    <a:ln>
                      <a:noFill/>
                    </a:ln>
                  </pic:spPr>
                </pic:pic>
              </a:graphicData>
            </a:graphic>
          </wp:inline>
        </w:drawing>
      </w:r>
      <w:r>
        <w:rPr>
          <w:rFonts w:hint="eastAsia" w:ascii="宋体" w:hAnsi="宋体"/>
          <w:szCs w:val="21"/>
        </w:rPr>
        <w:t>表示所有落入绿区和黄区的已验收通过的内部模型法交易台集合。</w:t>
      </w:r>
    </w:p>
    <w:p>
      <w:pPr>
        <w:tabs>
          <w:tab w:val="left" w:pos="720"/>
        </w:tabs>
        <w:spacing w:line="440" w:lineRule="exact"/>
        <w:ind w:firstLine="472" w:firstLineChars="225"/>
        <w:rPr>
          <w:rFonts w:ascii="宋体" w:hAnsi="宋体"/>
          <w:szCs w:val="21"/>
        </w:rPr>
      </w:pPr>
      <w:r>
        <w:rPr>
          <w:rFonts w:ascii="宋体" w:hAnsi="宋体"/>
          <w:szCs w:val="21"/>
        </w:rPr>
        <w:t>[3.1</w:t>
      </w:r>
      <w:r>
        <w:rPr>
          <w:rFonts w:hint="eastAsia" w:ascii="宋体" w:hAnsi="宋体"/>
          <w:szCs w:val="21"/>
        </w:rPr>
        <w:t>倍数k</w:t>
      </w:r>
      <w:r>
        <w:rPr>
          <w:rFonts w:ascii="宋体" w:hAnsi="宋体"/>
          <w:szCs w:val="21"/>
        </w:rPr>
        <w:t>]</w:t>
      </w:r>
      <w:r>
        <w:rPr>
          <w:rFonts w:hint="eastAsia" w:ascii="宋体" w:hAnsi="宋体"/>
          <w:szCs w:val="21"/>
        </w:rPr>
        <w:t>：指</w:t>
      </w:r>
      <w:r>
        <w:rPr>
          <w:rFonts w:ascii="宋体" w:hAnsi="宋体"/>
          <w:szCs w:val="21"/>
        </w:rPr>
        <w:t>[3.</w:t>
      </w:r>
      <w:r>
        <w:rPr>
          <w:rFonts w:hint="eastAsia" w:ascii="宋体" w:hAnsi="宋体"/>
          <w:szCs w:val="21"/>
        </w:rPr>
        <w:t>资本附加(Capital Surcharge)</w:t>
      </w:r>
      <w:r>
        <w:rPr>
          <w:rFonts w:ascii="宋体" w:hAnsi="宋体"/>
          <w:szCs w:val="21"/>
        </w:rPr>
        <w:t>]</w:t>
      </w:r>
      <w:r>
        <w:rPr>
          <w:rFonts w:hint="eastAsia" w:ascii="宋体" w:hAnsi="宋体"/>
          <w:szCs w:val="21"/>
        </w:rPr>
        <w:t>中使用的倍数k。</w:t>
      </w:r>
    </w:p>
    <w:p>
      <w:pPr>
        <w:tabs>
          <w:tab w:val="left" w:pos="720"/>
        </w:tabs>
        <w:spacing w:line="440" w:lineRule="exact"/>
        <w:ind w:firstLine="472" w:firstLineChars="225"/>
        <w:rPr>
          <w:rFonts w:ascii="宋体" w:hAnsi="宋体"/>
          <w:szCs w:val="21"/>
        </w:rPr>
      </w:pPr>
      <w:r>
        <w:rPr>
          <w:rFonts w:ascii="宋体" w:hAnsi="宋体"/>
          <w:szCs w:val="21"/>
        </w:rPr>
        <w:t>[4.</w:t>
      </w:r>
      <w:r>
        <w:rPr>
          <w:rFonts w:hint="eastAsia" w:ascii="宋体" w:hAnsi="宋体"/>
          <w:szCs w:val="21"/>
        </w:rPr>
        <w:t>所有交易台在标准法下的市场风险资本要求(SA all desk)</w:t>
      </w:r>
      <w:r>
        <w:rPr>
          <w:rFonts w:ascii="宋体" w:hAnsi="宋体"/>
          <w:szCs w:val="21"/>
        </w:rPr>
        <w:t>]</w:t>
      </w:r>
      <w:r>
        <w:rPr>
          <w:rFonts w:hint="eastAsia" w:ascii="宋体" w:hAnsi="宋体"/>
          <w:szCs w:val="21"/>
        </w:rPr>
        <w:t>：指填报机构所有交易台在标准法下的市场风险资本要求</w:t>
      </w:r>
    </w:p>
    <w:p>
      <w:pPr>
        <w:tabs>
          <w:tab w:val="left" w:pos="720"/>
        </w:tabs>
        <w:spacing w:line="440" w:lineRule="exact"/>
        <w:ind w:firstLine="472" w:firstLineChars="225"/>
        <w:rPr>
          <w:rFonts w:ascii="宋体" w:hAnsi="宋体"/>
          <w:szCs w:val="21"/>
        </w:rPr>
      </w:pPr>
      <w:r>
        <w:rPr>
          <w:rFonts w:ascii="宋体" w:hAnsi="宋体"/>
          <w:szCs w:val="21"/>
        </w:rPr>
        <w:t>[5.</w:t>
      </w:r>
      <w:r>
        <w:rPr>
          <w:rFonts w:hint="eastAsia" w:ascii="宋体" w:hAnsi="宋体"/>
          <w:szCs w:val="21"/>
        </w:rPr>
        <w:t>内部模型法下市场风险资本要求总额</w:t>
      </w:r>
      <w:r>
        <w:rPr>
          <w:rFonts w:ascii="宋体" w:hAnsi="宋体"/>
          <w:szCs w:val="21"/>
        </w:rPr>
        <w:t>]</w:t>
      </w:r>
      <w:r>
        <w:rPr>
          <w:rFonts w:hint="eastAsia" w:ascii="宋体" w:hAnsi="宋体"/>
          <w:szCs w:val="21"/>
        </w:rPr>
        <w:t>：指填报机构内部模型法下市场风险资本要求金额。</w:t>
      </w:r>
    </w:p>
    <w:p>
      <w:pPr>
        <w:tabs>
          <w:tab w:val="left" w:pos="720"/>
        </w:tabs>
        <w:spacing w:line="440" w:lineRule="exact"/>
        <w:ind w:firstLine="472" w:firstLineChars="225"/>
        <w:rPr>
          <w:rFonts w:ascii="仿宋_GB2312" w:hAnsi="仿宋_GB2312" w:cs="仿宋_GB2312"/>
          <w:szCs w:val="32"/>
        </w:rPr>
      </w:pPr>
      <w:r>
        <w:rPr>
          <w:rFonts w:hint="eastAsia" w:ascii="仿宋_GB2312" w:hAnsi="仿宋_GB2312" w:cs="仿宋_GB2312"/>
          <w:szCs w:val="32"/>
        </w:rPr>
        <w:t>商业银行采用内部模型法，内部模型法覆盖率应不低于</w:t>
      </w:r>
      <w:r>
        <w:rPr>
          <w:rFonts w:ascii="仿宋_GB2312" w:hAnsi="仿宋_GB2312" w:cs="仿宋_GB2312"/>
          <w:szCs w:val="32"/>
        </w:rPr>
        <w:t>10%</w:t>
      </w:r>
      <w:r>
        <w:rPr>
          <w:rFonts w:hint="eastAsia" w:ascii="仿宋_GB2312" w:hAnsi="仿宋_GB2312" w:cs="仿宋_GB2312"/>
          <w:szCs w:val="32"/>
        </w:rPr>
        <w:t>。公式如下：</w:t>
      </w:r>
    </w:p>
    <w:p>
      <w:pPr>
        <w:spacing w:line="560" w:lineRule="exact"/>
        <w:ind w:firstLine="420" w:firstLineChars="200"/>
        <w:rPr>
          <w:rFonts w:ascii="仿宋_GB2312" w:hAnsi="仿宋_GB2312" w:cs="仿宋_GB2312"/>
          <w:b/>
          <w:szCs w:val="32"/>
          <w:lang w:val="zh-TW"/>
        </w:rPr>
      </w:pPr>
      <w:r>
        <w:rPr>
          <w:rFonts w:hint="eastAsia" w:ascii="仿宋_GB2312" w:hAnsi="仿宋_GB2312" w:cs="仿宋_GB2312"/>
          <w:szCs w:val="32"/>
        </w:rPr>
        <w:t>内部模型法覆盖率</w:t>
      </w:r>
      <w:r>
        <w:rPr>
          <w:rFonts w:ascii="仿宋_GB2312" w:hAnsi="仿宋_GB2312" w:cs="仿宋_GB2312"/>
          <w:szCs w:val="32"/>
        </w:rPr>
        <w:t>=按内部模型法计量的资本要</w:t>
      </w:r>
      <w:r>
        <w:rPr>
          <w:rFonts w:hint="eastAsia" w:ascii="仿宋_GB2312" w:hAnsi="仿宋_GB2312" w:cs="仿宋_GB2312"/>
          <w:szCs w:val="32"/>
        </w:rPr>
        <w:t>求</w:t>
      </w:r>
      <w:r>
        <w:rPr>
          <w:rFonts w:ascii="仿宋_GB2312" w:hAnsi="仿宋_GB2312" w:cs="仿宋_GB2312"/>
          <w:szCs w:val="32"/>
        </w:rPr>
        <w:t>/（按内部模型法计量的资本要求＋按标准法计量的资本要求）×100%</w:t>
      </w:r>
    </w:p>
    <w:p>
      <w:pPr>
        <w:tabs>
          <w:tab w:val="left" w:pos="720"/>
        </w:tabs>
        <w:spacing w:line="440" w:lineRule="exact"/>
        <w:ind w:firstLine="472" w:firstLineChars="225"/>
        <w:rPr>
          <w:rFonts w:ascii="宋体" w:hAnsi="宋体"/>
          <w:szCs w:val="21"/>
          <w:lang w:eastAsia="zh-TW"/>
        </w:rPr>
      </w:pPr>
      <w:r>
        <w:rPr>
          <w:rFonts w:hint="eastAsia" w:ascii="仿宋_GB2312" w:hAnsi="仿宋_GB2312" w:cs="仿宋_GB2312"/>
          <w:szCs w:val="32"/>
        </w:rPr>
        <w:t>其中，</w:t>
      </w:r>
      <w:r>
        <w:rPr>
          <w:rFonts w:ascii="仿宋_GB2312" w:hAnsi="仿宋_GB2312" w:cs="仿宋_GB2312"/>
          <w:szCs w:val="32"/>
        </w:rPr>
        <w:t>按内部模型法计量的资本要求</w:t>
      </w:r>
      <w:r>
        <w:rPr>
          <w:rFonts w:hint="eastAsia" w:ascii="仿宋_GB2312" w:hAnsi="仿宋_GB2312" w:cs="仿宋_GB2312"/>
          <w:szCs w:val="32"/>
        </w:rPr>
        <w:t>与</w:t>
      </w:r>
      <w:r>
        <w:rPr>
          <w:rFonts w:ascii="仿宋_GB2312" w:hAnsi="仿宋_GB2312" w:cs="仿宋_GB2312"/>
          <w:szCs w:val="32"/>
        </w:rPr>
        <w:t>按标准法计量的资本要求</w:t>
      </w:r>
      <w:r>
        <w:rPr>
          <w:rFonts w:hint="eastAsia" w:ascii="仿宋_GB2312" w:hAnsi="仿宋_GB2312" w:cs="仿宋_GB2312"/>
          <w:szCs w:val="32"/>
        </w:rPr>
        <w:t>之和等于</w:t>
      </w:r>
      <w:r>
        <w:rPr>
          <w:rFonts w:hint="eastAsia" w:ascii="宋体" w:hAnsi="宋体"/>
          <w:szCs w:val="21"/>
        </w:rPr>
        <w:t>内部模型法下市场风险资本要求总额。</w:t>
      </w:r>
    </w:p>
    <w:p>
      <w:pPr>
        <w:spacing w:line="440" w:lineRule="exact"/>
        <w:ind w:firstLine="472" w:firstLineChars="225"/>
        <w:rPr>
          <w:rFonts w:ascii="宋体" w:hAnsi="宋体"/>
          <w:szCs w:val="21"/>
        </w:rPr>
      </w:pPr>
      <w:r>
        <w:rPr>
          <w:rFonts w:ascii="宋体" w:hAnsi="宋体"/>
          <w:szCs w:val="21"/>
        </w:rPr>
        <w:t>[6.</w:t>
      </w:r>
      <w:r>
        <w:rPr>
          <w:rFonts w:hint="eastAsia"/>
        </w:rPr>
        <w:t xml:space="preserve"> </w:t>
      </w:r>
      <w:r>
        <w:rPr>
          <w:rFonts w:hint="eastAsia" w:ascii="宋体" w:hAnsi="宋体"/>
          <w:szCs w:val="21"/>
        </w:rPr>
        <w:t>采用简化标准法计量的附属机构资本要求总额（集团口径）</w:t>
      </w:r>
      <w:r>
        <w:rPr>
          <w:rFonts w:ascii="宋体" w:hAnsi="宋体"/>
          <w:szCs w:val="21"/>
        </w:rPr>
        <w:t>]</w:t>
      </w:r>
      <w:r>
        <w:rPr>
          <w:rFonts w:hint="eastAsia" w:ascii="宋体" w:hAnsi="宋体"/>
          <w:szCs w:val="21"/>
        </w:rPr>
        <w:t>：指在集团口径下，填报机构的附属机构采用简化标准法计量的市场风险资本要求总额。附属机构采用简化标准法计量市场风险资本要求并直接并表的，应满足《办法》正文第二百零一条或二百零三条的要求。对于附属机构未采用简化标准法计量市场风险资本要求并直接并表的，无需填报该项目。</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7.市场风险资本要求总额</w:t>
      </w:r>
      <w:r>
        <w:rPr>
          <w:rFonts w:ascii="宋体" w:hAnsi="宋体"/>
          <w:szCs w:val="21"/>
        </w:rPr>
        <w:t>]</w:t>
      </w:r>
      <w:r>
        <w:rPr>
          <w:rFonts w:hint="eastAsia" w:ascii="宋体" w:hAnsi="宋体"/>
          <w:szCs w:val="21"/>
        </w:rPr>
        <w:t>：指填报机构全部市场风险资本要求总额。</w:t>
      </w:r>
    </w:p>
    <w:p>
      <w:pPr>
        <w:tabs>
          <w:tab w:val="left" w:pos="720"/>
        </w:tabs>
        <w:spacing w:line="440" w:lineRule="exact"/>
        <w:ind w:firstLine="472" w:firstLineChars="225"/>
        <w:rPr>
          <w:rFonts w:ascii="宋体" w:hAnsi="宋体"/>
          <w:szCs w:val="21"/>
        </w:rPr>
      </w:pPr>
      <w:r>
        <w:rPr>
          <w:rFonts w:ascii="宋体" w:hAnsi="宋体"/>
          <w:szCs w:val="21"/>
        </w:rPr>
        <w:t>[8.</w:t>
      </w:r>
      <w:r>
        <w:rPr>
          <w:rFonts w:hint="eastAsia" w:ascii="宋体" w:hAnsi="宋体"/>
          <w:szCs w:val="21"/>
        </w:rPr>
        <w:t>市场风险的风险加权资产总额</w:t>
      </w:r>
      <w:r>
        <w:rPr>
          <w:rFonts w:ascii="宋体" w:hAnsi="宋体"/>
          <w:szCs w:val="21"/>
        </w:rPr>
        <w:t>]</w:t>
      </w:r>
      <w:r>
        <w:rPr>
          <w:rFonts w:hint="eastAsia" w:ascii="宋体" w:hAnsi="宋体"/>
          <w:szCs w:val="21"/>
        </w:rPr>
        <w:t>：指填报机构市场风险资本要求对应的风险加权资产额，等于市场风险资本要求总额乘以12.5。</w:t>
      </w:r>
    </w:p>
    <w:p>
      <w:pPr>
        <w:spacing w:line="440" w:lineRule="exact"/>
        <w:rPr>
          <w:szCs w:val="21"/>
        </w:rPr>
      </w:pPr>
      <w:r>
        <w:rPr>
          <w:rFonts w:hint="eastAsia"/>
          <w:b/>
          <w:szCs w:val="21"/>
        </w:rPr>
        <w:t>第四部分：其他说明</w:t>
      </w:r>
    </w:p>
    <w:p>
      <w:pPr>
        <w:spacing w:line="440" w:lineRule="exact"/>
        <w:ind w:firstLine="420" w:firstLineChars="200"/>
        <w:rPr>
          <w:rFonts w:ascii="宋体" w:hAnsi="宋体"/>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除第二部分规定的折算汇率计算方法外，填报机构也可选取报告期末某一固定时点的市场实际交易价格作为折算汇率。</w:t>
      </w:r>
    </w:p>
    <w:p>
      <w:pPr>
        <w:spacing w:line="440" w:lineRule="exact"/>
        <w:ind w:firstLine="420" w:firstLineChars="200"/>
        <w:rPr>
          <w:rFonts w:ascii="宋体" w:hAnsi="宋体"/>
          <w:szCs w:val="21"/>
        </w:rPr>
      </w:pPr>
      <w:r>
        <w:rPr>
          <w:rFonts w:hint="eastAsia" w:ascii="宋体" w:hAnsi="宋体"/>
          <w:color w:val="0D0D0D" w:themeColor="text1" w:themeTint="F2"/>
          <w:szCs w:val="21"/>
          <w14:textFill>
            <w14:solidFill>
              <w14:schemeClr w14:val="tx1">
                <w14:lumMod w14:val="95000"/>
                <w14:lumOff w14:val="5000"/>
              </w14:schemeClr>
            </w14:solidFill>
          </w14:textFill>
        </w:rPr>
        <w:t>内部风险转移交易台资本要求和非穿透法计量的资产管理产品资本要求，均应单独计量风险资本，并根据底层资产的风险类别，分别填入对应的栏位。单独计量风险资本是指，不考虑与其他交易台之间的分散和抵消效应，以简单相加的方式汇总。此处“非穿透法计量的资产管理产品资本要求” 对应附件1</w:t>
      </w:r>
      <w:r>
        <w:rPr>
          <w:rFonts w:ascii="宋体" w:hAnsi="宋体"/>
          <w:color w:val="0D0D0D" w:themeColor="text1" w:themeTint="F2"/>
          <w:szCs w:val="21"/>
          <w14:textFill>
            <w14:solidFill>
              <w14:schemeClr w14:val="tx1">
                <w14:lumMod w14:val="95000"/>
                <w14:lumOff w14:val="5000"/>
              </w14:schemeClr>
            </w14:solidFill>
          </w14:textFill>
        </w:rPr>
        <w:t>4</w:t>
      </w:r>
      <w:r>
        <w:rPr>
          <w:rFonts w:hint="eastAsia" w:ascii="宋体" w:hAnsi="宋体"/>
          <w:color w:val="0D0D0D" w:themeColor="text1" w:themeTint="F2"/>
          <w:szCs w:val="21"/>
          <w14:textFill>
            <w14:solidFill>
              <w14:schemeClr w14:val="tx1">
                <w14:lumMod w14:val="95000"/>
                <w14:lumOff w14:val="5000"/>
              </w14:schemeClr>
            </w14:solidFill>
          </w14:textFill>
        </w:rPr>
        <w:t>“第二部分（十一）2（2）a”计量的资本要求。</w:t>
      </w:r>
    </w:p>
    <w:p>
      <w:pPr>
        <w:spacing w:line="440" w:lineRule="exact"/>
        <w:rPr>
          <w:rFonts w:ascii="宋体"/>
          <w:b/>
          <w:szCs w:val="21"/>
        </w:rPr>
      </w:pPr>
      <w:r>
        <w:rPr>
          <w:rFonts w:hint="eastAsia"/>
          <w:b/>
          <w:szCs w:val="21"/>
        </w:rPr>
        <w:t>第五部分：核对关系</w:t>
      </w:r>
    </w:p>
    <w:p>
      <w:pPr>
        <w:spacing w:line="440" w:lineRule="exact"/>
        <w:ind w:firstLine="541" w:firstLineChars="257"/>
        <w:rPr>
          <w:rFonts w:ascii="宋体"/>
          <w:b/>
          <w:bCs/>
          <w:szCs w:val="21"/>
        </w:rPr>
      </w:pPr>
      <w:r>
        <w:rPr>
          <w:rFonts w:hint="eastAsia" w:ascii="宋体"/>
          <w:b/>
          <w:bCs/>
          <w:szCs w:val="21"/>
        </w:rPr>
        <w:t>表内核对关系</w:t>
      </w:r>
    </w:p>
    <w:p>
      <w:pPr>
        <w:tabs>
          <w:tab w:val="left" w:pos="1260"/>
        </w:tabs>
        <w:spacing w:line="440" w:lineRule="exact"/>
        <w:ind w:left="540"/>
        <w:rPr>
          <w:rFonts w:ascii="宋体" w:hAnsi="Arial"/>
          <w:szCs w:val="21"/>
        </w:rPr>
      </w:pPr>
      <w:r>
        <w:rPr>
          <w:rFonts w:ascii="宋体" w:hAnsi="宋体"/>
          <w:szCs w:val="21"/>
        </w:rPr>
        <w:t>[</w:t>
      </w:r>
      <w:r>
        <w:rPr>
          <w:rFonts w:hint="eastAsia" w:ascii="宋体" w:hAnsi="宋体"/>
          <w:szCs w:val="21"/>
        </w:rPr>
        <w:t>1.</w:t>
      </w:r>
      <w:r>
        <w:rPr>
          <w:rFonts w:ascii="宋体" w:hAnsi="宋体"/>
          <w:szCs w:val="21"/>
        </w:rPr>
        <w:t>D]</w:t>
      </w:r>
      <w:r>
        <w:rPr>
          <w:rFonts w:hint="eastAsia" w:ascii="宋体" w:hAnsi="Arial"/>
          <w:szCs w:val="21"/>
        </w:rPr>
        <w:t>=</w:t>
      </w:r>
      <w:r>
        <w:rPr>
          <w:rFonts w:ascii="宋体" w:hAnsi="宋体"/>
          <w:szCs w:val="21"/>
        </w:rPr>
        <w:t xml:space="preserve"> [</w:t>
      </w:r>
      <w:r>
        <w:rPr>
          <w:rFonts w:hint="eastAsia" w:ascii="宋体" w:hAnsi="宋体"/>
          <w:szCs w:val="21"/>
        </w:rPr>
        <w:t>1</w:t>
      </w:r>
      <w:r>
        <w:rPr>
          <w:rFonts w:ascii="宋体" w:hAnsi="宋体"/>
          <w:szCs w:val="21"/>
        </w:rPr>
        <w:t>.3D] + [</w:t>
      </w:r>
      <w:r>
        <w:rPr>
          <w:rFonts w:hint="eastAsia" w:ascii="宋体" w:hAnsi="宋体"/>
          <w:szCs w:val="21"/>
        </w:rPr>
        <w:t>1</w:t>
      </w:r>
      <w:r>
        <w:rPr>
          <w:rFonts w:ascii="宋体" w:hAnsi="宋体"/>
          <w:szCs w:val="21"/>
        </w:rPr>
        <w:t xml:space="preserve">.4D] </w:t>
      </w:r>
    </w:p>
    <w:p>
      <w:pPr>
        <w:tabs>
          <w:tab w:val="left" w:pos="1260"/>
        </w:tabs>
        <w:spacing w:line="440" w:lineRule="exact"/>
        <w:ind w:left="540"/>
        <w:rPr>
          <w:rFonts w:ascii="宋体" w:hAnsi="Arial"/>
          <w:szCs w:val="21"/>
        </w:rPr>
      </w:pPr>
      <w:r>
        <w:rPr>
          <w:rFonts w:ascii="宋体" w:hAnsi="宋体"/>
          <w:szCs w:val="21"/>
        </w:rPr>
        <w:t>[1.1A]</w:t>
      </w:r>
      <w:r>
        <w:rPr>
          <w:rFonts w:hint="eastAsia" w:ascii="宋体" w:hAnsi="宋体"/>
          <w:szCs w:val="21"/>
        </w:rPr>
        <w:t>=</w:t>
      </w:r>
      <w:r>
        <w:rPr>
          <w:rFonts w:ascii="宋体" w:hAnsi="宋体"/>
          <w:szCs w:val="21"/>
        </w:rPr>
        <w:t xml:space="preserve"> [1.1.6A] * 0.5 + [1.1.7A]* 0.5  </w:t>
      </w:r>
    </w:p>
    <w:p>
      <w:pPr>
        <w:tabs>
          <w:tab w:val="left" w:pos="1260"/>
        </w:tabs>
        <w:spacing w:line="440" w:lineRule="exact"/>
        <w:ind w:left="540"/>
        <w:rPr>
          <w:rFonts w:ascii="宋体" w:hAnsi="宋体"/>
          <w:szCs w:val="21"/>
        </w:rPr>
      </w:pPr>
      <w:r>
        <w:rPr>
          <w:rFonts w:ascii="宋体" w:hAnsi="宋体"/>
          <w:szCs w:val="21"/>
        </w:rPr>
        <w:t>[1.1B]</w:t>
      </w:r>
      <w:r>
        <w:rPr>
          <w:rFonts w:hint="eastAsia" w:ascii="宋体" w:hAnsi="宋体"/>
          <w:szCs w:val="21"/>
        </w:rPr>
        <w:t>=</w:t>
      </w:r>
      <w:r>
        <w:rPr>
          <w:rFonts w:ascii="宋体" w:hAnsi="宋体"/>
          <w:szCs w:val="21"/>
        </w:rPr>
        <w:t xml:space="preserve"> [1.1.6B] * 0.5 + [1.1.7B]* 0.5  </w:t>
      </w:r>
    </w:p>
    <w:p>
      <w:pPr>
        <w:tabs>
          <w:tab w:val="left" w:pos="1260"/>
        </w:tabs>
        <w:spacing w:line="440" w:lineRule="exact"/>
        <w:ind w:left="540"/>
        <w:rPr>
          <w:rFonts w:ascii="宋体" w:hAnsi="宋体"/>
          <w:szCs w:val="21"/>
        </w:rPr>
      </w:pPr>
      <w:r>
        <w:rPr>
          <w:rFonts w:ascii="宋体" w:hAnsi="宋体"/>
          <w:szCs w:val="21"/>
        </w:rPr>
        <w:t>[1.1.6A]</w:t>
      </w:r>
      <w:r>
        <w:rPr>
          <w:rFonts w:hint="eastAsia" w:ascii="宋体" w:hAnsi="宋体"/>
          <w:szCs w:val="21"/>
        </w:rPr>
        <w:t>=</w:t>
      </w:r>
      <w:r>
        <w:rPr>
          <w:rFonts w:ascii="宋体" w:hAnsi="宋体"/>
          <w:szCs w:val="21"/>
        </w:rPr>
        <w:t xml:space="preserve"> [1.1.1A] + [1.1.2A] + [1.1.3A] + [1.1.4A] + [1.1.5A]</w:t>
      </w:r>
    </w:p>
    <w:p>
      <w:pPr>
        <w:spacing w:line="440" w:lineRule="exact"/>
        <w:ind w:left="540"/>
        <w:rPr>
          <w:rFonts w:ascii="宋体" w:hAnsi="Arial"/>
          <w:szCs w:val="21"/>
        </w:rPr>
      </w:pPr>
      <w:r>
        <w:rPr>
          <w:rFonts w:ascii="宋体" w:hAnsi="宋体"/>
          <w:szCs w:val="21"/>
        </w:rPr>
        <w:t>[1.1.6B]</w:t>
      </w:r>
      <w:r>
        <w:rPr>
          <w:rFonts w:hint="eastAsia" w:ascii="宋体" w:hAnsi="宋体"/>
          <w:szCs w:val="21"/>
        </w:rPr>
        <w:t>=</w:t>
      </w:r>
      <w:r>
        <w:rPr>
          <w:rFonts w:ascii="宋体" w:hAnsi="宋体"/>
          <w:szCs w:val="21"/>
        </w:rPr>
        <w:t xml:space="preserve"> [1.1.1B] + [1.1.2B] + [1.1.3B] + [1.1.4B] + [1.1.5B]</w:t>
      </w:r>
    </w:p>
    <w:p>
      <w:pPr>
        <w:tabs>
          <w:tab w:val="left" w:pos="1260"/>
        </w:tabs>
        <w:spacing w:line="440" w:lineRule="exact"/>
        <w:ind w:left="540"/>
        <w:rPr>
          <w:rFonts w:ascii="宋体" w:hAnsi="Arial"/>
          <w:szCs w:val="21"/>
        </w:rPr>
      </w:pPr>
      <w:r>
        <w:rPr>
          <w:rFonts w:ascii="宋体" w:hAnsi="宋体"/>
          <w:szCs w:val="21"/>
        </w:rPr>
        <w:t>[1.2A]</w:t>
      </w:r>
      <w:r>
        <w:rPr>
          <w:rFonts w:hint="eastAsia" w:ascii="宋体" w:hAnsi="宋体"/>
          <w:szCs w:val="21"/>
        </w:rPr>
        <w:t>=</w:t>
      </w:r>
      <w:r>
        <w:rPr>
          <w:rFonts w:ascii="宋体" w:hAnsi="宋体"/>
          <w:szCs w:val="21"/>
        </w:rPr>
        <w:t xml:space="preserve"> [1.2.1A] + [1.2.2A] + [1.2.3A]</w:t>
      </w:r>
    </w:p>
    <w:p>
      <w:pPr>
        <w:tabs>
          <w:tab w:val="left" w:pos="1260"/>
        </w:tabs>
        <w:spacing w:line="440" w:lineRule="exact"/>
        <w:ind w:left="540"/>
        <w:rPr>
          <w:rFonts w:ascii="宋体" w:hAnsi="Arial"/>
          <w:szCs w:val="21"/>
        </w:rPr>
      </w:pPr>
      <w:r>
        <w:rPr>
          <w:rFonts w:ascii="宋体" w:hAnsi="宋体"/>
          <w:szCs w:val="21"/>
        </w:rPr>
        <w:t>[1.2B]</w:t>
      </w:r>
      <w:r>
        <w:rPr>
          <w:rFonts w:hint="eastAsia" w:ascii="宋体" w:hAnsi="宋体"/>
          <w:szCs w:val="21"/>
        </w:rPr>
        <w:t>=</w:t>
      </w:r>
      <w:r>
        <w:rPr>
          <w:rFonts w:ascii="宋体" w:hAnsi="宋体"/>
          <w:szCs w:val="21"/>
        </w:rPr>
        <w:t xml:space="preserve"> [1.2.1B] + [1.2.2B] + [1.2.3B]</w:t>
      </w:r>
    </w:p>
    <w:p>
      <w:pPr>
        <w:tabs>
          <w:tab w:val="left" w:pos="1260"/>
        </w:tabs>
        <w:spacing w:line="440" w:lineRule="exact"/>
        <w:ind w:left="540"/>
        <w:rPr>
          <w:rFonts w:ascii="宋体" w:hAnsi="Arial"/>
          <w:szCs w:val="21"/>
        </w:rPr>
      </w:pPr>
      <w:r>
        <w:rPr>
          <w:rFonts w:ascii="宋体" w:hAnsi="宋体"/>
          <w:szCs w:val="21"/>
        </w:rPr>
        <w:t>[</w:t>
      </w:r>
      <w:r>
        <w:rPr>
          <w:rFonts w:hint="eastAsia" w:ascii="宋体" w:hAnsi="宋体"/>
          <w:szCs w:val="21"/>
        </w:rPr>
        <w:t>1</w:t>
      </w:r>
      <w:r>
        <w:rPr>
          <w:rFonts w:ascii="宋体" w:hAnsi="宋体"/>
          <w:szCs w:val="21"/>
        </w:rPr>
        <w:t>.3D]= MAX([</w:t>
      </w:r>
      <w:r>
        <w:rPr>
          <w:rFonts w:hint="eastAsia" w:ascii="宋体" w:hAnsi="宋体"/>
          <w:szCs w:val="21"/>
        </w:rPr>
        <w:t>1.</w:t>
      </w:r>
      <w:r>
        <w:rPr>
          <w:rFonts w:ascii="宋体" w:hAnsi="宋体"/>
          <w:szCs w:val="21"/>
        </w:rPr>
        <w:t>1A] + [</w:t>
      </w:r>
      <w:r>
        <w:rPr>
          <w:rFonts w:hint="eastAsia" w:ascii="宋体" w:hAnsi="宋体"/>
          <w:szCs w:val="21"/>
        </w:rPr>
        <w:t>1.</w:t>
      </w:r>
      <w:r>
        <w:rPr>
          <w:rFonts w:ascii="宋体" w:hAnsi="宋体"/>
          <w:szCs w:val="21"/>
        </w:rPr>
        <w:t>2A], [</w:t>
      </w:r>
      <w:r>
        <w:rPr>
          <w:rFonts w:hint="eastAsia" w:ascii="宋体" w:hAnsi="宋体"/>
          <w:szCs w:val="21"/>
        </w:rPr>
        <w:t>1.</w:t>
      </w:r>
      <w:r>
        <w:rPr>
          <w:rFonts w:ascii="宋体" w:hAnsi="宋体"/>
          <w:szCs w:val="21"/>
        </w:rPr>
        <w:t>1B]* [</w:t>
      </w:r>
      <w:r>
        <w:rPr>
          <w:rFonts w:hint="eastAsia" w:ascii="宋体" w:hAnsi="宋体"/>
          <w:szCs w:val="21"/>
        </w:rPr>
        <w:t>1.</w:t>
      </w:r>
      <w:r>
        <w:rPr>
          <w:rFonts w:ascii="宋体" w:hAnsi="宋体"/>
          <w:szCs w:val="21"/>
        </w:rPr>
        <w:t>C] + [</w:t>
      </w:r>
      <w:r>
        <w:rPr>
          <w:rFonts w:hint="eastAsia" w:ascii="宋体" w:hAnsi="宋体"/>
          <w:szCs w:val="21"/>
        </w:rPr>
        <w:t>1.</w:t>
      </w:r>
      <w:r>
        <w:rPr>
          <w:rFonts w:ascii="宋体" w:hAnsi="宋体"/>
          <w:szCs w:val="21"/>
        </w:rPr>
        <w:t>2B])</w:t>
      </w:r>
    </w:p>
    <w:p>
      <w:pPr>
        <w:tabs>
          <w:tab w:val="left" w:pos="1260"/>
        </w:tabs>
        <w:spacing w:line="440" w:lineRule="exact"/>
        <w:ind w:left="540"/>
        <w:rPr>
          <w:rFonts w:ascii="宋体" w:hAnsi="宋体"/>
          <w:szCs w:val="21"/>
        </w:rPr>
      </w:pPr>
      <w:r>
        <w:rPr>
          <w:rFonts w:ascii="宋体" w:hAnsi="宋体"/>
          <w:szCs w:val="21"/>
        </w:rPr>
        <w:t>[2.D]</w:t>
      </w:r>
      <w:r>
        <w:rPr>
          <w:rFonts w:hint="eastAsia" w:ascii="宋体" w:hAnsi="宋体"/>
          <w:szCs w:val="21"/>
        </w:rPr>
        <w:t>=</w:t>
      </w:r>
      <w:r>
        <w:rPr>
          <w:rFonts w:ascii="宋体" w:hAnsi="宋体"/>
          <w:szCs w:val="21"/>
        </w:rPr>
        <w:t xml:space="preserve"> [2.1D] + [2.2D] + [2.3D]</w:t>
      </w:r>
    </w:p>
    <w:p>
      <w:pPr>
        <w:tabs>
          <w:tab w:val="left" w:pos="1260"/>
        </w:tabs>
        <w:spacing w:line="440" w:lineRule="exact"/>
        <w:ind w:left="540"/>
        <w:rPr>
          <w:rFonts w:ascii="宋体" w:hAnsi="Arial"/>
          <w:szCs w:val="21"/>
        </w:rPr>
      </w:pPr>
      <w:r>
        <w:rPr>
          <w:rFonts w:ascii="宋体" w:hAnsi="宋体"/>
          <w:szCs w:val="21"/>
        </w:rPr>
        <w:t>[2.1D]= [2.1.1D] + [2.1.2D] + [2.1.3D] + [2.1.4D] + [2.1.5D] + [2.1.6D] + [2.1.7D]</w:t>
      </w:r>
    </w:p>
    <w:p>
      <w:pPr>
        <w:tabs>
          <w:tab w:val="left" w:pos="1260"/>
        </w:tabs>
        <w:spacing w:line="440" w:lineRule="exact"/>
        <w:ind w:left="540"/>
        <w:rPr>
          <w:rFonts w:ascii="宋体" w:hAnsi="Arial"/>
          <w:szCs w:val="21"/>
        </w:rPr>
      </w:pPr>
      <w:r>
        <w:rPr>
          <w:rFonts w:ascii="宋体" w:hAnsi="宋体"/>
          <w:szCs w:val="21"/>
        </w:rPr>
        <w:t>[2.2D]= [2.2.1D] + [2.2.2D] + [2.2.3D]</w:t>
      </w:r>
    </w:p>
    <w:p>
      <w:pPr>
        <w:tabs>
          <w:tab w:val="left" w:pos="1260"/>
        </w:tabs>
        <w:spacing w:line="440" w:lineRule="exact"/>
        <w:ind w:left="540"/>
        <w:rPr>
          <w:rFonts w:ascii="宋体" w:hAnsi="Arial"/>
          <w:szCs w:val="21"/>
        </w:rPr>
      </w:pPr>
      <w:r>
        <w:rPr>
          <w:rFonts w:ascii="宋体" w:hAnsi="宋体"/>
          <w:szCs w:val="21"/>
        </w:rPr>
        <w:t>[3.D]</w:t>
      </w:r>
      <w:r>
        <w:rPr>
          <w:rFonts w:hint="eastAsia" w:ascii="宋体" w:hAnsi="宋体"/>
          <w:szCs w:val="21"/>
        </w:rPr>
        <w:t>=</w:t>
      </w:r>
      <w:r>
        <w:rPr>
          <w:rFonts w:ascii="宋体" w:hAnsi="宋体"/>
          <w:szCs w:val="21"/>
        </w:rPr>
        <w:t xml:space="preserve"> [3.1D] * MAX(0,[1.5D] - [1D])</w:t>
      </w:r>
    </w:p>
    <w:p>
      <w:pPr>
        <w:tabs>
          <w:tab w:val="left" w:pos="1260"/>
        </w:tabs>
        <w:spacing w:line="440" w:lineRule="exact"/>
        <w:ind w:left="540"/>
        <w:rPr>
          <w:rFonts w:ascii="宋体" w:hAnsi="Arial"/>
          <w:szCs w:val="21"/>
        </w:rPr>
      </w:pPr>
      <w:r>
        <w:rPr>
          <w:rFonts w:ascii="宋体" w:hAnsi="宋体"/>
          <w:szCs w:val="21"/>
        </w:rPr>
        <w:t>[5</w:t>
      </w:r>
      <w:r>
        <w:rPr>
          <w:rFonts w:hint="eastAsia" w:ascii="宋体" w:hAnsi="宋体"/>
          <w:szCs w:val="21"/>
        </w:rPr>
        <w:t>.</w:t>
      </w:r>
      <w:r>
        <w:rPr>
          <w:rFonts w:ascii="宋体" w:hAnsi="宋体"/>
          <w:szCs w:val="21"/>
        </w:rPr>
        <w:t>D]= MIN([</w:t>
      </w:r>
      <w:r>
        <w:rPr>
          <w:rFonts w:hint="eastAsia" w:ascii="宋体" w:hAnsi="宋体"/>
          <w:szCs w:val="21"/>
        </w:rPr>
        <w:t>1.</w:t>
      </w:r>
      <w:r>
        <w:rPr>
          <w:rFonts w:ascii="宋体" w:hAnsi="宋体"/>
          <w:szCs w:val="21"/>
        </w:rPr>
        <w:t>D] + [2</w:t>
      </w:r>
      <w:r>
        <w:rPr>
          <w:rFonts w:hint="eastAsia" w:ascii="宋体" w:hAnsi="宋体"/>
          <w:szCs w:val="21"/>
        </w:rPr>
        <w:t>.</w:t>
      </w:r>
      <w:r>
        <w:rPr>
          <w:rFonts w:ascii="宋体" w:hAnsi="宋体"/>
          <w:szCs w:val="21"/>
        </w:rPr>
        <w:t>D] + [3</w:t>
      </w:r>
      <w:r>
        <w:rPr>
          <w:rFonts w:hint="eastAsia" w:ascii="宋体" w:hAnsi="宋体"/>
          <w:szCs w:val="21"/>
        </w:rPr>
        <w:t>.</w:t>
      </w:r>
      <w:r>
        <w:rPr>
          <w:rFonts w:ascii="宋体" w:hAnsi="宋体"/>
          <w:szCs w:val="21"/>
        </w:rPr>
        <w:t>D], [4</w:t>
      </w:r>
      <w:r>
        <w:rPr>
          <w:rFonts w:hint="eastAsia" w:ascii="宋体" w:hAnsi="宋体"/>
          <w:szCs w:val="21"/>
        </w:rPr>
        <w:t>.</w:t>
      </w:r>
      <w:r>
        <w:rPr>
          <w:rFonts w:ascii="宋体" w:hAnsi="宋体"/>
          <w:szCs w:val="21"/>
        </w:rPr>
        <w:t>D]) + MAX(0, [</w:t>
      </w:r>
      <w:r>
        <w:rPr>
          <w:rFonts w:hint="eastAsia" w:ascii="宋体" w:hAnsi="宋体"/>
          <w:szCs w:val="21"/>
        </w:rPr>
        <w:t>1.</w:t>
      </w:r>
      <w:r>
        <w:rPr>
          <w:rFonts w:ascii="宋体" w:hAnsi="宋体"/>
          <w:szCs w:val="21"/>
        </w:rPr>
        <w:t>D]- [</w:t>
      </w:r>
      <w:r>
        <w:rPr>
          <w:rFonts w:hint="eastAsia" w:ascii="宋体" w:hAnsi="宋体"/>
          <w:szCs w:val="21"/>
        </w:rPr>
        <w:t>1.</w:t>
      </w:r>
      <w:r>
        <w:rPr>
          <w:rFonts w:ascii="宋体" w:hAnsi="宋体"/>
          <w:szCs w:val="21"/>
        </w:rPr>
        <w:t xml:space="preserve">5D]) </w:t>
      </w:r>
    </w:p>
    <w:p>
      <w:pPr>
        <w:tabs>
          <w:tab w:val="left" w:pos="1260"/>
        </w:tabs>
        <w:spacing w:line="440" w:lineRule="exact"/>
        <w:ind w:left="540"/>
        <w:rPr>
          <w:rFonts w:ascii="宋体" w:hAnsi="Arial"/>
          <w:szCs w:val="21"/>
        </w:rPr>
      </w:pPr>
      <w:r>
        <w:rPr>
          <w:rFonts w:ascii="宋体" w:hAnsi="宋体"/>
          <w:szCs w:val="21"/>
        </w:rPr>
        <w:t>[7</w:t>
      </w:r>
      <w:r>
        <w:rPr>
          <w:rFonts w:hint="eastAsia" w:ascii="宋体" w:hAnsi="宋体"/>
          <w:szCs w:val="21"/>
        </w:rPr>
        <w:t>.</w:t>
      </w:r>
      <w:r>
        <w:rPr>
          <w:rFonts w:ascii="宋体" w:hAnsi="宋体"/>
          <w:szCs w:val="21"/>
        </w:rPr>
        <w:t>D]</w:t>
      </w:r>
      <w:r>
        <w:rPr>
          <w:rFonts w:hint="eastAsia" w:ascii="宋体" w:hAnsi="宋体"/>
          <w:szCs w:val="21"/>
        </w:rPr>
        <w:t>=</w:t>
      </w:r>
      <w:r>
        <w:rPr>
          <w:rFonts w:ascii="宋体" w:hAnsi="宋体"/>
          <w:szCs w:val="21"/>
        </w:rPr>
        <w:t xml:space="preserve"> [5.D] + [6.D]</w:t>
      </w:r>
    </w:p>
    <w:p>
      <w:pPr>
        <w:tabs>
          <w:tab w:val="left" w:pos="1260"/>
        </w:tabs>
        <w:spacing w:line="440" w:lineRule="exact"/>
        <w:ind w:left="540"/>
        <w:rPr>
          <w:rFonts w:ascii="宋体" w:hAnsi="Arial"/>
          <w:szCs w:val="21"/>
        </w:rPr>
      </w:pPr>
      <w:r>
        <w:rPr>
          <w:rFonts w:ascii="宋体" w:hAnsi="宋体"/>
          <w:szCs w:val="21"/>
        </w:rPr>
        <w:t>[8</w:t>
      </w:r>
      <w:r>
        <w:rPr>
          <w:rFonts w:hint="eastAsia" w:ascii="宋体" w:hAnsi="宋体"/>
          <w:szCs w:val="21"/>
        </w:rPr>
        <w:t>.</w:t>
      </w:r>
      <w:r>
        <w:rPr>
          <w:rFonts w:ascii="宋体" w:hAnsi="宋体"/>
          <w:szCs w:val="21"/>
        </w:rPr>
        <w:t>D]</w:t>
      </w:r>
      <w:r>
        <w:rPr>
          <w:rFonts w:hint="eastAsia" w:ascii="宋体" w:hAnsi="宋体"/>
          <w:szCs w:val="21"/>
        </w:rPr>
        <w:t>=</w:t>
      </w:r>
      <w:r>
        <w:rPr>
          <w:rFonts w:ascii="宋体" w:hAnsi="宋体"/>
          <w:szCs w:val="21"/>
        </w:rPr>
        <w:t xml:space="preserve"> [7.D] * 12.5</w:t>
      </w:r>
    </w:p>
    <w:p>
      <w:pPr>
        <w:rPr>
          <w:szCs w:val="21"/>
        </w:rPr>
      </w:pP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modern"/>
    <w:pitch w:val="default"/>
    <w:sig w:usb0="00000001" w:usb1="080E0000" w:usb2="00000000" w:usb3="00000000" w:csb0="00040000" w:csb1="0000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200FCFF" w:usb2="08000039" w:usb3="00100000" w:csb0="0000019F" w:csb1="DFD70000"/>
  </w:font>
  <w:font w:name="Tahoma">
    <w:altName w:val="DejaVu Sans"/>
    <w:panose1 w:val="020B0604030504040204"/>
    <w:charset w:val="00"/>
    <w:family w:val="swiss"/>
    <w:pitch w:val="default"/>
    <w:sig w:usb0="00000000" w:usb1="00000000" w:usb2="00000029" w:usb3="00000000" w:csb0="000101FF" w:csb1="00000000"/>
  </w:font>
  <w:font w:name="MS Mincho">
    <w:altName w:val="宋体"/>
    <w:panose1 w:val="02020609040205080304"/>
    <w:charset w:val="80"/>
    <w:family w:val="modern"/>
    <w:pitch w:val="default"/>
    <w:sig w:usb0="00000000" w:usb1="00000000" w:usb2="08000012" w:usb3="00000000" w:csb0="0002009F" w:csb1="00000000"/>
  </w:font>
  <w:font w:name="”“Times New Roman”“">
    <w:altName w:val="宋体"/>
    <w:panose1 w:val="00000000000000000000"/>
    <w:charset w:val="86"/>
    <w:family w:val="roman"/>
    <w:pitch w:val="default"/>
    <w:sig w:usb0="00000000" w:usb1="00000000" w:usb2="00000010" w:usb3="00000000" w:csb0="00040000" w:csb1="00000000"/>
  </w:font>
  <w:font w:name="华文中宋">
    <w:altName w:val="汉仪中宋简"/>
    <w:panose1 w:val="02010600040101010101"/>
    <w:charset w:val="86"/>
    <w:family w:val="auto"/>
    <w:pitch w:val="default"/>
    <w:sig w:usb0="00000000" w:usb1="00000000" w:usb2="00000010" w:usb3="00000000" w:csb0="0004009F" w:csb1="00000000"/>
  </w:font>
  <w:font w:name="汉仪中宋简">
    <w:panose1 w:val="02010600000101010101"/>
    <w:charset w:val="86"/>
    <w:family w:val="auto"/>
    <w:pitch w:val="default"/>
    <w:sig w:usb0="00000001" w:usb1="080E0800" w:usb2="00000002" w:usb3="00000000" w:csb0="00040000" w:csb1="00000000"/>
  </w:font>
  <w:font w:name="Arial Narrow">
    <w:altName w:val="DejaVu Sans"/>
    <w:panose1 w:val="020B0606020202030204"/>
    <w:charset w:val="00"/>
    <w:family w:val="swiss"/>
    <w:pitch w:val="default"/>
    <w:sig w:usb0="00000000" w:usb1="00000000" w:usb2="00000000" w:usb3="00000000" w:csb0="0000009F" w:csb1="00000000"/>
  </w:font>
  <w:font w:name="Verdana">
    <w:altName w:val="DejaVu Sans"/>
    <w:panose1 w:val="020B0604030504040204"/>
    <w:charset w:val="00"/>
    <w:family w:val="swiss"/>
    <w:pitch w:val="default"/>
    <w:sig w:usb0="00000000" w:usb1="00000000"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framePr w:wrap="around" w:vAnchor="text" w:hAnchor="margin" w:xAlign="center" w:y="1"/>
      <w:rPr>
        <w:rStyle w:val="34"/>
      </w:rPr>
    </w:pPr>
    <w:r>
      <w:fldChar w:fldCharType="begin"/>
    </w:r>
    <w:r>
      <w:rPr>
        <w:rStyle w:val="34"/>
      </w:rPr>
      <w:instrText xml:space="preserve">PAGE  </w:instrText>
    </w:r>
    <w:r>
      <w:fldChar w:fldCharType="separate"/>
    </w:r>
    <w:r>
      <w:rPr>
        <w:rStyle w:val="34"/>
      </w:rPr>
      <w:t>7</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framePr w:wrap="around" w:vAnchor="text" w:hAnchor="margin" w:xAlign="center" w:y="1"/>
      <w:rPr>
        <w:rStyle w:val="34"/>
      </w:rPr>
    </w:pPr>
    <w:r>
      <w:fldChar w:fldCharType="begin"/>
    </w:r>
    <w:r>
      <w:rPr>
        <w:rStyle w:val="34"/>
      </w:rPr>
      <w:instrText xml:space="preserve">PAGE  </w:instrText>
    </w:r>
    <w:r>
      <w:fldChar w:fldCharType="end"/>
    </w: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93213E"/>
    <w:rsid w:val="000013BA"/>
    <w:rsid w:val="0000150C"/>
    <w:rsid w:val="000047B7"/>
    <w:rsid w:val="000074A3"/>
    <w:rsid w:val="000142AB"/>
    <w:rsid w:val="00021026"/>
    <w:rsid w:val="00030104"/>
    <w:rsid w:val="00036F63"/>
    <w:rsid w:val="000460A1"/>
    <w:rsid w:val="000566C4"/>
    <w:rsid w:val="00057B9A"/>
    <w:rsid w:val="0006057B"/>
    <w:rsid w:val="00064262"/>
    <w:rsid w:val="0006689B"/>
    <w:rsid w:val="000676D8"/>
    <w:rsid w:val="00074098"/>
    <w:rsid w:val="000825C2"/>
    <w:rsid w:val="000834D7"/>
    <w:rsid w:val="000855E9"/>
    <w:rsid w:val="00087405"/>
    <w:rsid w:val="00091983"/>
    <w:rsid w:val="00091BBF"/>
    <w:rsid w:val="000936E5"/>
    <w:rsid w:val="0009371A"/>
    <w:rsid w:val="000976AD"/>
    <w:rsid w:val="000A1F39"/>
    <w:rsid w:val="000A41BF"/>
    <w:rsid w:val="000A4C63"/>
    <w:rsid w:val="000A5381"/>
    <w:rsid w:val="000A561A"/>
    <w:rsid w:val="000B087A"/>
    <w:rsid w:val="000B0F97"/>
    <w:rsid w:val="000B1F46"/>
    <w:rsid w:val="000B4494"/>
    <w:rsid w:val="000B579A"/>
    <w:rsid w:val="000B7F74"/>
    <w:rsid w:val="000C0CF9"/>
    <w:rsid w:val="000C2A7D"/>
    <w:rsid w:val="000C2C8B"/>
    <w:rsid w:val="000C335C"/>
    <w:rsid w:val="000C6378"/>
    <w:rsid w:val="000D576E"/>
    <w:rsid w:val="000D58FD"/>
    <w:rsid w:val="000D7ED0"/>
    <w:rsid w:val="000E09A9"/>
    <w:rsid w:val="000E4373"/>
    <w:rsid w:val="000F134B"/>
    <w:rsid w:val="000F3879"/>
    <w:rsid w:val="0010003D"/>
    <w:rsid w:val="001028C0"/>
    <w:rsid w:val="00102ABF"/>
    <w:rsid w:val="0010463B"/>
    <w:rsid w:val="00106FC6"/>
    <w:rsid w:val="00110965"/>
    <w:rsid w:val="00112837"/>
    <w:rsid w:val="00112E81"/>
    <w:rsid w:val="00117914"/>
    <w:rsid w:val="001215BF"/>
    <w:rsid w:val="0012241D"/>
    <w:rsid w:val="00123B27"/>
    <w:rsid w:val="00133D2B"/>
    <w:rsid w:val="001341AC"/>
    <w:rsid w:val="00137038"/>
    <w:rsid w:val="001452CD"/>
    <w:rsid w:val="00146E8C"/>
    <w:rsid w:val="00152B3C"/>
    <w:rsid w:val="00153E68"/>
    <w:rsid w:val="0015780A"/>
    <w:rsid w:val="00157B48"/>
    <w:rsid w:val="00161FB7"/>
    <w:rsid w:val="00163F49"/>
    <w:rsid w:val="00170D56"/>
    <w:rsid w:val="00171022"/>
    <w:rsid w:val="00171357"/>
    <w:rsid w:val="00176DD2"/>
    <w:rsid w:val="0018100E"/>
    <w:rsid w:val="001844B5"/>
    <w:rsid w:val="00184535"/>
    <w:rsid w:val="00185D17"/>
    <w:rsid w:val="00191E78"/>
    <w:rsid w:val="001955DE"/>
    <w:rsid w:val="001973C1"/>
    <w:rsid w:val="001A02ED"/>
    <w:rsid w:val="001A0365"/>
    <w:rsid w:val="001A176D"/>
    <w:rsid w:val="001A25C0"/>
    <w:rsid w:val="001A33E8"/>
    <w:rsid w:val="001B0C5E"/>
    <w:rsid w:val="001B16F7"/>
    <w:rsid w:val="001B17F6"/>
    <w:rsid w:val="001B2B33"/>
    <w:rsid w:val="001C3A13"/>
    <w:rsid w:val="001C5294"/>
    <w:rsid w:val="001C6876"/>
    <w:rsid w:val="001C69B6"/>
    <w:rsid w:val="001D1111"/>
    <w:rsid w:val="001D529B"/>
    <w:rsid w:val="001D5CAD"/>
    <w:rsid w:val="001E2899"/>
    <w:rsid w:val="001E3607"/>
    <w:rsid w:val="001E3CE9"/>
    <w:rsid w:val="001E6056"/>
    <w:rsid w:val="001E707A"/>
    <w:rsid w:val="001F326D"/>
    <w:rsid w:val="001F4FDD"/>
    <w:rsid w:val="00201433"/>
    <w:rsid w:val="00205823"/>
    <w:rsid w:val="00211C55"/>
    <w:rsid w:val="00215816"/>
    <w:rsid w:val="00215ECD"/>
    <w:rsid w:val="0022431D"/>
    <w:rsid w:val="00224906"/>
    <w:rsid w:val="00231F08"/>
    <w:rsid w:val="00234678"/>
    <w:rsid w:val="00246A6D"/>
    <w:rsid w:val="00253B8F"/>
    <w:rsid w:val="00256C2F"/>
    <w:rsid w:val="00256EAE"/>
    <w:rsid w:val="00261415"/>
    <w:rsid w:val="00264E92"/>
    <w:rsid w:val="0026676D"/>
    <w:rsid w:val="00267CDC"/>
    <w:rsid w:val="00272EFD"/>
    <w:rsid w:val="002764F7"/>
    <w:rsid w:val="00276AA7"/>
    <w:rsid w:val="00280616"/>
    <w:rsid w:val="00281613"/>
    <w:rsid w:val="0028537B"/>
    <w:rsid w:val="00285499"/>
    <w:rsid w:val="0029116D"/>
    <w:rsid w:val="00291171"/>
    <w:rsid w:val="0029548A"/>
    <w:rsid w:val="00297556"/>
    <w:rsid w:val="002A3669"/>
    <w:rsid w:val="002A615B"/>
    <w:rsid w:val="002A669E"/>
    <w:rsid w:val="002A6CFF"/>
    <w:rsid w:val="002A75EF"/>
    <w:rsid w:val="002B4D7D"/>
    <w:rsid w:val="002B51D7"/>
    <w:rsid w:val="002B57E0"/>
    <w:rsid w:val="002B6DD0"/>
    <w:rsid w:val="002B71D3"/>
    <w:rsid w:val="002B7D68"/>
    <w:rsid w:val="002C09B3"/>
    <w:rsid w:val="002C537E"/>
    <w:rsid w:val="002C58A8"/>
    <w:rsid w:val="002C5CA2"/>
    <w:rsid w:val="002C6443"/>
    <w:rsid w:val="002C7F99"/>
    <w:rsid w:val="002C7FB1"/>
    <w:rsid w:val="002D200A"/>
    <w:rsid w:val="002D570F"/>
    <w:rsid w:val="002E54E9"/>
    <w:rsid w:val="002E6EA4"/>
    <w:rsid w:val="002E71A0"/>
    <w:rsid w:val="002F17F7"/>
    <w:rsid w:val="002F2FAE"/>
    <w:rsid w:val="002F5C51"/>
    <w:rsid w:val="00300DFF"/>
    <w:rsid w:val="003030A8"/>
    <w:rsid w:val="00303275"/>
    <w:rsid w:val="0030475B"/>
    <w:rsid w:val="00320D2C"/>
    <w:rsid w:val="003252D2"/>
    <w:rsid w:val="003266AB"/>
    <w:rsid w:val="00327406"/>
    <w:rsid w:val="003277FE"/>
    <w:rsid w:val="00330027"/>
    <w:rsid w:val="0034051F"/>
    <w:rsid w:val="00342850"/>
    <w:rsid w:val="00343454"/>
    <w:rsid w:val="0034367A"/>
    <w:rsid w:val="003513D6"/>
    <w:rsid w:val="0035271E"/>
    <w:rsid w:val="0036213C"/>
    <w:rsid w:val="003635DB"/>
    <w:rsid w:val="00363E30"/>
    <w:rsid w:val="0036750B"/>
    <w:rsid w:val="00367704"/>
    <w:rsid w:val="00371B16"/>
    <w:rsid w:val="00377A17"/>
    <w:rsid w:val="00377CD7"/>
    <w:rsid w:val="00380EF3"/>
    <w:rsid w:val="00382718"/>
    <w:rsid w:val="003836BC"/>
    <w:rsid w:val="003873B6"/>
    <w:rsid w:val="00390162"/>
    <w:rsid w:val="003935C5"/>
    <w:rsid w:val="0039542C"/>
    <w:rsid w:val="003964C5"/>
    <w:rsid w:val="003A0213"/>
    <w:rsid w:val="003A47AE"/>
    <w:rsid w:val="003A7D0F"/>
    <w:rsid w:val="003B0C76"/>
    <w:rsid w:val="003B16E1"/>
    <w:rsid w:val="003B20AA"/>
    <w:rsid w:val="003B2580"/>
    <w:rsid w:val="003B5F01"/>
    <w:rsid w:val="003B7B30"/>
    <w:rsid w:val="003C04DA"/>
    <w:rsid w:val="003C52B5"/>
    <w:rsid w:val="003C7B34"/>
    <w:rsid w:val="003D1E91"/>
    <w:rsid w:val="003D441D"/>
    <w:rsid w:val="003D6DEC"/>
    <w:rsid w:val="003E4440"/>
    <w:rsid w:val="003F17B8"/>
    <w:rsid w:val="003F5C5B"/>
    <w:rsid w:val="0040664E"/>
    <w:rsid w:val="004117C2"/>
    <w:rsid w:val="00415CF4"/>
    <w:rsid w:val="004161AF"/>
    <w:rsid w:val="00416241"/>
    <w:rsid w:val="00423067"/>
    <w:rsid w:val="004231E9"/>
    <w:rsid w:val="00423FDF"/>
    <w:rsid w:val="00424BE7"/>
    <w:rsid w:val="00426BDD"/>
    <w:rsid w:val="00431176"/>
    <w:rsid w:val="00432369"/>
    <w:rsid w:val="0043512E"/>
    <w:rsid w:val="004426FF"/>
    <w:rsid w:val="00442FF1"/>
    <w:rsid w:val="00443283"/>
    <w:rsid w:val="00445AC7"/>
    <w:rsid w:val="00446306"/>
    <w:rsid w:val="00453423"/>
    <w:rsid w:val="00454415"/>
    <w:rsid w:val="00455489"/>
    <w:rsid w:val="004622EF"/>
    <w:rsid w:val="00462DEF"/>
    <w:rsid w:val="004649AC"/>
    <w:rsid w:val="00467472"/>
    <w:rsid w:val="00475BAD"/>
    <w:rsid w:val="00476304"/>
    <w:rsid w:val="00477971"/>
    <w:rsid w:val="00483A2D"/>
    <w:rsid w:val="0048578B"/>
    <w:rsid w:val="00494BBC"/>
    <w:rsid w:val="00497844"/>
    <w:rsid w:val="004A1B21"/>
    <w:rsid w:val="004A277A"/>
    <w:rsid w:val="004A2B39"/>
    <w:rsid w:val="004A5099"/>
    <w:rsid w:val="004A51EF"/>
    <w:rsid w:val="004B0DB2"/>
    <w:rsid w:val="004C07ED"/>
    <w:rsid w:val="004D3529"/>
    <w:rsid w:val="004D4A12"/>
    <w:rsid w:val="004E1CBE"/>
    <w:rsid w:val="004E35E6"/>
    <w:rsid w:val="004E57F7"/>
    <w:rsid w:val="004F018C"/>
    <w:rsid w:val="004F12F0"/>
    <w:rsid w:val="00501356"/>
    <w:rsid w:val="005047BD"/>
    <w:rsid w:val="00506614"/>
    <w:rsid w:val="00512B33"/>
    <w:rsid w:val="00513693"/>
    <w:rsid w:val="005177BE"/>
    <w:rsid w:val="00517DA2"/>
    <w:rsid w:val="00521B2C"/>
    <w:rsid w:val="00521D82"/>
    <w:rsid w:val="00522055"/>
    <w:rsid w:val="00525CF7"/>
    <w:rsid w:val="00530159"/>
    <w:rsid w:val="00533BB0"/>
    <w:rsid w:val="00541674"/>
    <w:rsid w:val="005452AF"/>
    <w:rsid w:val="005457D6"/>
    <w:rsid w:val="00551420"/>
    <w:rsid w:val="00551B96"/>
    <w:rsid w:val="00552B34"/>
    <w:rsid w:val="00555574"/>
    <w:rsid w:val="005639F2"/>
    <w:rsid w:val="0056782B"/>
    <w:rsid w:val="005679AC"/>
    <w:rsid w:val="00572F00"/>
    <w:rsid w:val="00573DF1"/>
    <w:rsid w:val="00577DD0"/>
    <w:rsid w:val="0058447C"/>
    <w:rsid w:val="00586D29"/>
    <w:rsid w:val="00590A8A"/>
    <w:rsid w:val="005919C7"/>
    <w:rsid w:val="00597047"/>
    <w:rsid w:val="005A2A4A"/>
    <w:rsid w:val="005A3EEC"/>
    <w:rsid w:val="005A6F47"/>
    <w:rsid w:val="005B1852"/>
    <w:rsid w:val="005B2872"/>
    <w:rsid w:val="005B6A9A"/>
    <w:rsid w:val="005C585E"/>
    <w:rsid w:val="005D20A7"/>
    <w:rsid w:val="005D347B"/>
    <w:rsid w:val="005E1569"/>
    <w:rsid w:val="005E4D39"/>
    <w:rsid w:val="005F34BF"/>
    <w:rsid w:val="005F4CAA"/>
    <w:rsid w:val="005F4D30"/>
    <w:rsid w:val="005F6D57"/>
    <w:rsid w:val="005F7E91"/>
    <w:rsid w:val="0060472E"/>
    <w:rsid w:val="00605C2D"/>
    <w:rsid w:val="0060633D"/>
    <w:rsid w:val="0060651C"/>
    <w:rsid w:val="006115B5"/>
    <w:rsid w:val="0061538C"/>
    <w:rsid w:val="00615DC4"/>
    <w:rsid w:val="00616291"/>
    <w:rsid w:val="0061727C"/>
    <w:rsid w:val="006176F0"/>
    <w:rsid w:val="006213BD"/>
    <w:rsid w:val="00625B66"/>
    <w:rsid w:val="00626B9B"/>
    <w:rsid w:val="00633E3C"/>
    <w:rsid w:val="006415FB"/>
    <w:rsid w:val="00644C96"/>
    <w:rsid w:val="00646856"/>
    <w:rsid w:val="00652A35"/>
    <w:rsid w:val="00652CE4"/>
    <w:rsid w:val="00672843"/>
    <w:rsid w:val="0067470F"/>
    <w:rsid w:val="006765C4"/>
    <w:rsid w:val="00677510"/>
    <w:rsid w:val="00677C37"/>
    <w:rsid w:val="00694214"/>
    <w:rsid w:val="006A2985"/>
    <w:rsid w:val="006A632C"/>
    <w:rsid w:val="006B0A4B"/>
    <w:rsid w:val="006B24C0"/>
    <w:rsid w:val="006B2E60"/>
    <w:rsid w:val="006B5EC1"/>
    <w:rsid w:val="006C150D"/>
    <w:rsid w:val="006C2585"/>
    <w:rsid w:val="006C433C"/>
    <w:rsid w:val="006D57BA"/>
    <w:rsid w:val="006D5F2E"/>
    <w:rsid w:val="006E28FB"/>
    <w:rsid w:val="006E2AC6"/>
    <w:rsid w:val="006E4E9E"/>
    <w:rsid w:val="006E5706"/>
    <w:rsid w:val="006F20A3"/>
    <w:rsid w:val="007010E2"/>
    <w:rsid w:val="00705BF3"/>
    <w:rsid w:val="007144FE"/>
    <w:rsid w:val="007149E9"/>
    <w:rsid w:val="00715D6A"/>
    <w:rsid w:val="0072193D"/>
    <w:rsid w:val="00722ABA"/>
    <w:rsid w:val="00725E58"/>
    <w:rsid w:val="007331A8"/>
    <w:rsid w:val="0073333E"/>
    <w:rsid w:val="00735FAC"/>
    <w:rsid w:val="007400A7"/>
    <w:rsid w:val="00740656"/>
    <w:rsid w:val="00741926"/>
    <w:rsid w:val="007452C0"/>
    <w:rsid w:val="00745BE3"/>
    <w:rsid w:val="00746883"/>
    <w:rsid w:val="00747DE6"/>
    <w:rsid w:val="00752527"/>
    <w:rsid w:val="0075277F"/>
    <w:rsid w:val="00754068"/>
    <w:rsid w:val="007545DA"/>
    <w:rsid w:val="00755226"/>
    <w:rsid w:val="00764B1F"/>
    <w:rsid w:val="00766F74"/>
    <w:rsid w:val="00767F7A"/>
    <w:rsid w:val="007822E5"/>
    <w:rsid w:val="00784D55"/>
    <w:rsid w:val="00785D7D"/>
    <w:rsid w:val="0079329C"/>
    <w:rsid w:val="00793C0C"/>
    <w:rsid w:val="00797903"/>
    <w:rsid w:val="007B1CE6"/>
    <w:rsid w:val="007B55AF"/>
    <w:rsid w:val="007B6D39"/>
    <w:rsid w:val="007B7956"/>
    <w:rsid w:val="007C1311"/>
    <w:rsid w:val="007C13CD"/>
    <w:rsid w:val="007C2188"/>
    <w:rsid w:val="007C4425"/>
    <w:rsid w:val="007D2483"/>
    <w:rsid w:val="007D2CDA"/>
    <w:rsid w:val="007D3666"/>
    <w:rsid w:val="007E72B0"/>
    <w:rsid w:val="007E72C4"/>
    <w:rsid w:val="007E7F2B"/>
    <w:rsid w:val="007F0856"/>
    <w:rsid w:val="007F2282"/>
    <w:rsid w:val="007F2AB0"/>
    <w:rsid w:val="007F394E"/>
    <w:rsid w:val="007F565D"/>
    <w:rsid w:val="007F74DB"/>
    <w:rsid w:val="0080011E"/>
    <w:rsid w:val="00803825"/>
    <w:rsid w:val="008105DC"/>
    <w:rsid w:val="00812045"/>
    <w:rsid w:val="008156E1"/>
    <w:rsid w:val="00817595"/>
    <w:rsid w:val="008214E8"/>
    <w:rsid w:val="0082579E"/>
    <w:rsid w:val="008264EE"/>
    <w:rsid w:val="0083006F"/>
    <w:rsid w:val="008302C3"/>
    <w:rsid w:val="008514B1"/>
    <w:rsid w:val="00851E5B"/>
    <w:rsid w:val="00854A2E"/>
    <w:rsid w:val="008606C0"/>
    <w:rsid w:val="00861CC3"/>
    <w:rsid w:val="0087008B"/>
    <w:rsid w:val="00870516"/>
    <w:rsid w:val="00873ECD"/>
    <w:rsid w:val="00874E9C"/>
    <w:rsid w:val="00877B5E"/>
    <w:rsid w:val="00880C8A"/>
    <w:rsid w:val="00882D9F"/>
    <w:rsid w:val="008861F7"/>
    <w:rsid w:val="00887A22"/>
    <w:rsid w:val="00890560"/>
    <w:rsid w:val="00891212"/>
    <w:rsid w:val="0089317E"/>
    <w:rsid w:val="008945E8"/>
    <w:rsid w:val="00895000"/>
    <w:rsid w:val="00896AED"/>
    <w:rsid w:val="008973A9"/>
    <w:rsid w:val="008A12F3"/>
    <w:rsid w:val="008A7B52"/>
    <w:rsid w:val="008A7B98"/>
    <w:rsid w:val="008B2ACE"/>
    <w:rsid w:val="008B4F4B"/>
    <w:rsid w:val="008C155D"/>
    <w:rsid w:val="008C3511"/>
    <w:rsid w:val="008C5066"/>
    <w:rsid w:val="008C660C"/>
    <w:rsid w:val="008D1084"/>
    <w:rsid w:val="008E0457"/>
    <w:rsid w:val="008E48B5"/>
    <w:rsid w:val="008E685C"/>
    <w:rsid w:val="008E77F0"/>
    <w:rsid w:val="008F13EB"/>
    <w:rsid w:val="008F1C48"/>
    <w:rsid w:val="008F36AB"/>
    <w:rsid w:val="008F5683"/>
    <w:rsid w:val="008F6814"/>
    <w:rsid w:val="009015DC"/>
    <w:rsid w:val="0090284C"/>
    <w:rsid w:val="00905B5A"/>
    <w:rsid w:val="009166F3"/>
    <w:rsid w:val="00917E14"/>
    <w:rsid w:val="009206C1"/>
    <w:rsid w:val="00921E4C"/>
    <w:rsid w:val="00922D30"/>
    <w:rsid w:val="00925022"/>
    <w:rsid w:val="00931BE1"/>
    <w:rsid w:val="0093213E"/>
    <w:rsid w:val="009344A6"/>
    <w:rsid w:val="009362B6"/>
    <w:rsid w:val="00942231"/>
    <w:rsid w:val="00943531"/>
    <w:rsid w:val="00945526"/>
    <w:rsid w:val="0095599F"/>
    <w:rsid w:val="00955CBA"/>
    <w:rsid w:val="00956A5F"/>
    <w:rsid w:val="009619F6"/>
    <w:rsid w:val="00961FA7"/>
    <w:rsid w:val="00961FEA"/>
    <w:rsid w:val="009626DF"/>
    <w:rsid w:val="009662D4"/>
    <w:rsid w:val="00982749"/>
    <w:rsid w:val="009843C2"/>
    <w:rsid w:val="00994E3E"/>
    <w:rsid w:val="0099697E"/>
    <w:rsid w:val="009A0CF8"/>
    <w:rsid w:val="009A3471"/>
    <w:rsid w:val="009A4828"/>
    <w:rsid w:val="009A7981"/>
    <w:rsid w:val="009B5A9C"/>
    <w:rsid w:val="009B641A"/>
    <w:rsid w:val="009B759F"/>
    <w:rsid w:val="009C1F6C"/>
    <w:rsid w:val="009C2AE8"/>
    <w:rsid w:val="009D0075"/>
    <w:rsid w:val="009D0410"/>
    <w:rsid w:val="009D1216"/>
    <w:rsid w:val="009E2FC3"/>
    <w:rsid w:val="009F6817"/>
    <w:rsid w:val="009F7423"/>
    <w:rsid w:val="009F7E0C"/>
    <w:rsid w:val="00A016C9"/>
    <w:rsid w:val="00A07CCD"/>
    <w:rsid w:val="00A13D95"/>
    <w:rsid w:val="00A16B68"/>
    <w:rsid w:val="00A17A73"/>
    <w:rsid w:val="00A24C21"/>
    <w:rsid w:val="00A25940"/>
    <w:rsid w:val="00A26155"/>
    <w:rsid w:val="00A27994"/>
    <w:rsid w:val="00A3224B"/>
    <w:rsid w:val="00A348C6"/>
    <w:rsid w:val="00A36B79"/>
    <w:rsid w:val="00A4204C"/>
    <w:rsid w:val="00A4410E"/>
    <w:rsid w:val="00A57E2A"/>
    <w:rsid w:val="00A66879"/>
    <w:rsid w:val="00A7659D"/>
    <w:rsid w:val="00A77E40"/>
    <w:rsid w:val="00A83A81"/>
    <w:rsid w:val="00A911FC"/>
    <w:rsid w:val="00AA1530"/>
    <w:rsid w:val="00AA1585"/>
    <w:rsid w:val="00AA3DA3"/>
    <w:rsid w:val="00AA447C"/>
    <w:rsid w:val="00AA6D28"/>
    <w:rsid w:val="00AA77DE"/>
    <w:rsid w:val="00AB0664"/>
    <w:rsid w:val="00AB4426"/>
    <w:rsid w:val="00AB5D6C"/>
    <w:rsid w:val="00AB62B2"/>
    <w:rsid w:val="00AC0EEC"/>
    <w:rsid w:val="00AC61AE"/>
    <w:rsid w:val="00AD174F"/>
    <w:rsid w:val="00AE08E2"/>
    <w:rsid w:val="00AE2DF1"/>
    <w:rsid w:val="00AE6794"/>
    <w:rsid w:val="00AF05E8"/>
    <w:rsid w:val="00AF103F"/>
    <w:rsid w:val="00AF5356"/>
    <w:rsid w:val="00AF5C9D"/>
    <w:rsid w:val="00AF78A1"/>
    <w:rsid w:val="00B0238B"/>
    <w:rsid w:val="00B0271A"/>
    <w:rsid w:val="00B03DCD"/>
    <w:rsid w:val="00B045B0"/>
    <w:rsid w:val="00B053C1"/>
    <w:rsid w:val="00B0566C"/>
    <w:rsid w:val="00B05BA2"/>
    <w:rsid w:val="00B06E56"/>
    <w:rsid w:val="00B12348"/>
    <w:rsid w:val="00B141CA"/>
    <w:rsid w:val="00B158EC"/>
    <w:rsid w:val="00B256AC"/>
    <w:rsid w:val="00B27371"/>
    <w:rsid w:val="00B336D1"/>
    <w:rsid w:val="00B34783"/>
    <w:rsid w:val="00B37D17"/>
    <w:rsid w:val="00B408FB"/>
    <w:rsid w:val="00B41B9D"/>
    <w:rsid w:val="00B428FD"/>
    <w:rsid w:val="00B466E5"/>
    <w:rsid w:val="00B4742D"/>
    <w:rsid w:val="00B50B60"/>
    <w:rsid w:val="00B52473"/>
    <w:rsid w:val="00B538B1"/>
    <w:rsid w:val="00B5591D"/>
    <w:rsid w:val="00B55D19"/>
    <w:rsid w:val="00B57A93"/>
    <w:rsid w:val="00B6218C"/>
    <w:rsid w:val="00B62F6F"/>
    <w:rsid w:val="00B676F9"/>
    <w:rsid w:val="00B74EE4"/>
    <w:rsid w:val="00B80599"/>
    <w:rsid w:val="00B84202"/>
    <w:rsid w:val="00B84AAB"/>
    <w:rsid w:val="00B853CD"/>
    <w:rsid w:val="00B85552"/>
    <w:rsid w:val="00B9132B"/>
    <w:rsid w:val="00B91CA9"/>
    <w:rsid w:val="00B93755"/>
    <w:rsid w:val="00B95779"/>
    <w:rsid w:val="00B95946"/>
    <w:rsid w:val="00B9779C"/>
    <w:rsid w:val="00BA1986"/>
    <w:rsid w:val="00BA3143"/>
    <w:rsid w:val="00BA4005"/>
    <w:rsid w:val="00BA4609"/>
    <w:rsid w:val="00BA4A9A"/>
    <w:rsid w:val="00BB021E"/>
    <w:rsid w:val="00BB0EC6"/>
    <w:rsid w:val="00BB1330"/>
    <w:rsid w:val="00BB6524"/>
    <w:rsid w:val="00BB6A75"/>
    <w:rsid w:val="00BB7479"/>
    <w:rsid w:val="00BC3F3D"/>
    <w:rsid w:val="00BC5A63"/>
    <w:rsid w:val="00BC5DA9"/>
    <w:rsid w:val="00BC6462"/>
    <w:rsid w:val="00BD1390"/>
    <w:rsid w:val="00BD31B2"/>
    <w:rsid w:val="00BD31F5"/>
    <w:rsid w:val="00BD4D3D"/>
    <w:rsid w:val="00BD66D4"/>
    <w:rsid w:val="00BE0710"/>
    <w:rsid w:val="00BE084F"/>
    <w:rsid w:val="00BE15CA"/>
    <w:rsid w:val="00BE2DF5"/>
    <w:rsid w:val="00BE41D1"/>
    <w:rsid w:val="00BE5598"/>
    <w:rsid w:val="00BE6DEF"/>
    <w:rsid w:val="00BE7E04"/>
    <w:rsid w:val="00BF0CD9"/>
    <w:rsid w:val="00BF0DBF"/>
    <w:rsid w:val="00BF59EB"/>
    <w:rsid w:val="00BF6004"/>
    <w:rsid w:val="00C00476"/>
    <w:rsid w:val="00C1021D"/>
    <w:rsid w:val="00C10FCA"/>
    <w:rsid w:val="00C12337"/>
    <w:rsid w:val="00C16BB7"/>
    <w:rsid w:val="00C23A77"/>
    <w:rsid w:val="00C30587"/>
    <w:rsid w:val="00C3398B"/>
    <w:rsid w:val="00C33C0C"/>
    <w:rsid w:val="00C407F7"/>
    <w:rsid w:val="00C45909"/>
    <w:rsid w:val="00C45C85"/>
    <w:rsid w:val="00C516D7"/>
    <w:rsid w:val="00C52A97"/>
    <w:rsid w:val="00C54AAA"/>
    <w:rsid w:val="00C55321"/>
    <w:rsid w:val="00C572A1"/>
    <w:rsid w:val="00C61128"/>
    <w:rsid w:val="00C664E8"/>
    <w:rsid w:val="00C66D9A"/>
    <w:rsid w:val="00C74271"/>
    <w:rsid w:val="00C813D3"/>
    <w:rsid w:val="00C85DAB"/>
    <w:rsid w:val="00C91B4F"/>
    <w:rsid w:val="00C91B6A"/>
    <w:rsid w:val="00C92196"/>
    <w:rsid w:val="00C92694"/>
    <w:rsid w:val="00C9284F"/>
    <w:rsid w:val="00C9641B"/>
    <w:rsid w:val="00CA1B57"/>
    <w:rsid w:val="00CA579A"/>
    <w:rsid w:val="00CA6BEB"/>
    <w:rsid w:val="00CB0C2C"/>
    <w:rsid w:val="00CB4970"/>
    <w:rsid w:val="00CB4F9B"/>
    <w:rsid w:val="00CB5420"/>
    <w:rsid w:val="00CC61C5"/>
    <w:rsid w:val="00CC6747"/>
    <w:rsid w:val="00CC6A74"/>
    <w:rsid w:val="00CD2D64"/>
    <w:rsid w:val="00CD4890"/>
    <w:rsid w:val="00CD4B02"/>
    <w:rsid w:val="00CE1E54"/>
    <w:rsid w:val="00CE645F"/>
    <w:rsid w:val="00CE6DCA"/>
    <w:rsid w:val="00CF136D"/>
    <w:rsid w:val="00CF27FE"/>
    <w:rsid w:val="00CF48B4"/>
    <w:rsid w:val="00CF54B8"/>
    <w:rsid w:val="00CF5C5A"/>
    <w:rsid w:val="00CF60AC"/>
    <w:rsid w:val="00CF71AA"/>
    <w:rsid w:val="00D0053B"/>
    <w:rsid w:val="00D00D5D"/>
    <w:rsid w:val="00D0116C"/>
    <w:rsid w:val="00D11037"/>
    <w:rsid w:val="00D12DD7"/>
    <w:rsid w:val="00D14B26"/>
    <w:rsid w:val="00D16825"/>
    <w:rsid w:val="00D202EA"/>
    <w:rsid w:val="00D2398C"/>
    <w:rsid w:val="00D23EF0"/>
    <w:rsid w:val="00D265AA"/>
    <w:rsid w:val="00D3226B"/>
    <w:rsid w:val="00D4328C"/>
    <w:rsid w:val="00D45294"/>
    <w:rsid w:val="00D468E8"/>
    <w:rsid w:val="00D50646"/>
    <w:rsid w:val="00D50E30"/>
    <w:rsid w:val="00D5450D"/>
    <w:rsid w:val="00D559DE"/>
    <w:rsid w:val="00D57118"/>
    <w:rsid w:val="00D57B17"/>
    <w:rsid w:val="00D65E7D"/>
    <w:rsid w:val="00D665D2"/>
    <w:rsid w:val="00D708C8"/>
    <w:rsid w:val="00D719AE"/>
    <w:rsid w:val="00D74D12"/>
    <w:rsid w:val="00D77981"/>
    <w:rsid w:val="00D77E9E"/>
    <w:rsid w:val="00D821DB"/>
    <w:rsid w:val="00D90074"/>
    <w:rsid w:val="00D90C2E"/>
    <w:rsid w:val="00D90F07"/>
    <w:rsid w:val="00D95CC0"/>
    <w:rsid w:val="00D96D71"/>
    <w:rsid w:val="00D976E2"/>
    <w:rsid w:val="00DB316E"/>
    <w:rsid w:val="00DB5D73"/>
    <w:rsid w:val="00DB7017"/>
    <w:rsid w:val="00DC2BE2"/>
    <w:rsid w:val="00DC38A4"/>
    <w:rsid w:val="00DC75EE"/>
    <w:rsid w:val="00DC7BEA"/>
    <w:rsid w:val="00DD4697"/>
    <w:rsid w:val="00DD4EA4"/>
    <w:rsid w:val="00DD6344"/>
    <w:rsid w:val="00DD6495"/>
    <w:rsid w:val="00DE0838"/>
    <w:rsid w:val="00DE2522"/>
    <w:rsid w:val="00DE3CF3"/>
    <w:rsid w:val="00DE7040"/>
    <w:rsid w:val="00DF2BF1"/>
    <w:rsid w:val="00DF4640"/>
    <w:rsid w:val="00DF4E45"/>
    <w:rsid w:val="00DF682F"/>
    <w:rsid w:val="00DF725F"/>
    <w:rsid w:val="00E00889"/>
    <w:rsid w:val="00E00B6D"/>
    <w:rsid w:val="00E13763"/>
    <w:rsid w:val="00E1762B"/>
    <w:rsid w:val="00E20725"/>
    <w:rsid w:val="00E224C6"/>
    <w:rsid w:val="00E22A5B"/>
    <w:rsid w:val="00E237D9"/>
    <w:rsid w:val="00E302F1"/>
    <w:rsid w:val="00E31770"/>
    <w:rsid w:val="00E3350E"/>
    <w:rsid w:val="00E373DA"/>
    <w:rsid w:val="00E545C7"/>
    <w:rsid w:val="00E554F5"/>
    <w:rsid w:val="00E55C44"/>
    <w:rsid w:val="00E66352"/>
    <w:rsid w:val="00E73E70"/>
    <w:rsid w:val="00E74AF0"/>
    <w:rsid w:val="00E811B3"/>
    <w:rsid w:val="00E86224"/>
    <w:rsid w:val="00E9016B"/>
    <w:rsid w:val="00E90BB9"/>
    <w:rsid w:val="00E91B66"/>
    <w:rsid w:val="00E92623"/>
    <w:rsid w:val="00E93A1B"/>
    <w:rsid w:val="00E95749"/>
    <w:rsid w:val="00E96CA1"/>
    <w:rsid w:val="00E97EBA"/>
    <w:rsid w:val="00EA3C76"/>
    <w:rsid w:val="00EA713E"/>
    <w:rsid w:val="00EB169E"/>
    <w:rsid w:val="00EB1E2E"/>
    <w:rsid w:val="00EB27C1"/>
    <w:rsid w:val="00EC0476"/>
    <w:rsid w:val="00EC0CD7"/>
    <w:rsid w:val="00EC2041"/>
    <w:rsid w:val="00ED12E2"/>
    <w:rsid w:val="00ED25E7"/>
    <w:rsid w:val="00ED5E0C"/>
    <w:rsid w:val="00ED62F7"/>
    <w:rsid w:val="00ED72A7"/>
    <w:rsid w:val="00EE0153"/>
    <w:rsid w:val="00EE4E32"/>
    <w:rsid w:val="00EE7C80"/>
    <w:rsid w:val="00EF0C44"/>
    <w:rsid w:val="00EF2BDF"/>
    <w:rsid w:val="00EF4A29"/>
    <w:rsid w:val="00EF74C5"/>
    <w:rsid w:val="00EF774C"/>
    <w:rsid w:val="00F003FB"/>
    <w:rsid w:val="00F0149E"/>
    <w:rsid w:val="00F01546"/>
    <w:rsid w:val="00F037CB"/>
    <w:rsid w:val="00F07C9A"/>
    <w:rsid w:val="00F167B1"/>
    <w:rsid w:val="00F2137B"/>
    <w:rsid w:val="00F30B3B"/>
    <w:rsid w:val="00F314F9"/>
    <w:rsid w:val="00F33AE9"/>
    <w:rsid w:val="00F42CE3"/>
    <w:rsid w:val="00F430B3"/>
    <w:rsid w:val="00F4623F"/>
    <w:rsid w:val="00F47B22"/>
    <w:rsid w:val="00F55F0E"/>
    <w:rsid w:val="00F57097"/>
    <w:rsid w:val="00F57580"/>
    <w:rsid w:val="00F60B45"/>
    <w:rsid w:val="00F60E73"/>
    <w:rsid w:val="00F61420"/>
    <w:rsid w:val="00F66FB6"/>
    <w:rsid w:val="00F744C8"/>
    <w:rsid w:val="00F75D5C"/>
    <w:rsid w:val="00F8328E"/>
    <w:rsid w:val="00F845E3"/>
    <w:rsid w:val="00F860D0"/>
    <w:rsid w:val="00F862D6"/>
    <w:rsid w:val="00F87404"/>
    <w:rsid w:val="00F87818"/>
    <w:rsid w:val="00F91278"/>
    <w:rsid w:val="00FA310C"/>
    <w:rsid w:val="00FA3DD7"/>
    <w:rsid w:val="00FA42F7"/>
    <w:rsid w:val="00FA73F6"/>
    <w:rsid w:val="00FB244D"/>
    <w:rsid w:val="00FB3E8B"/>
    <w:rsid w:val="00FC0DA7"/>
    <w:rsid w:val="00FC27CE"/>
    <w:rsid w:val="00FC33BB"/>
    <w:rsid w:val="00FC390C"/>
    <w:rsid w:val="00FD0B0A"/>
    <w:rsid w:val="00FD2EC9"/>
    <w:rsid w:val="00FD404A"/>
    <w:rsid w:val="00FD4A72"/>
    <w:rsid w:val="00FE0D16"/>
    <w:rsid w:val="00FE27DE"/>
    <w:rsid w:val="00FE4B4B"/>
    <w:rsid w:val="00FE5CC5"/>
    <w:rsid w:val="00FE7414"/>
    <w:rsid w:val="00FF6550"/>
    <w:rsid w:val="10053D95"/>
    <w:rsid w:val="27190EDB"/>
    <w:rsid w:val="2E077AED"/>
    <w:rsid w:val="3BAEE56B"/>
    <w:rsid w:val="3E5E2407"/>
    <w:rsid w:val="3EE36626"/>
    <w:rsid w:val="5F8473AA"/>
    <w:rsid w:val="60145248"/>
    <w:rsid w:val="6E7F53ED"/>
    <w:rsid w:val="6F7871A9"/>
    <w:rsid w:val="77FAAB2E"/>
    <w:rsid w:val="77FF1820"/>
    <w:rsid w:val="794B7023"/>
    <w:rsid w:val="7EDEB886"/>
    <w:rsid w:val="8FFF87BF"/>
    <w:rsid w:val="977F92F0"/>
    <w:rsid w:val="9F7FC2D0"/>
    <w:rsid w:val="B6F59293"/>
    <w:rsid w:val="CFFFF3C2"/>
    <w:rsid w:val="F9DB2F6F"/>
    <w:rsid w:val="FF070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46"/>
    <w:qFormat/>
    <w:uiPriority w:val="0"/>
    <w:pPr>
      <w:keepNext/>
      <w:jc w:val="center"/>
      <w:outlineLvl w:val="0"/>
    </w:pPr>
    <w:rPr>
      <w:rFonts w:eastAsia="黑体"/>
      <w:b/>
      <w:sz w:val="30"/>
      <w:szCs w:val="20"/>
    </w:rPr>
  </w:style>
  <w:style w:type="paragraph" w:styleId="3">
    <w:name w:val="heading 2"/>
    <w:basedOn w:val="1"/>
    <w:next w:val="1"/>
    <w:link w:val="45"/>
    <w:qFormat/>
    <w:uiPriority w:val="0"/>
    <w:pPr>
      <w:keepNext/>
      <w:keepLines/>
      <w:spacing w:before="260" w:after="260" w:line="416" w:lineRule="auto"/>
      <w:jc w:val="center"/>
      <w:outlineLvl w:val="1"/>
    </w:pPr>
    <w:rPr>
      <w:rFonts w:ascii="Arial" w:hAnsi="Arial" w:eastAsia="黑体"/>
      <w:b/>
      <w:bCs/>
      <w:sz w:val="24"/>
      <w:szCs w:val="32"/>
    </w:rPr>
  </w:style>
  <w:style w:type="paragraph" w:styleId="4">
    <w:name w:val="heading 3"/>
    <w:basedOn w:val="3"/>
    <w:next w:val="5"/>
    <w:link w:val="47"/>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42"/>
    <w:qFormat/>
    <w:uiPriority w:val="0"/>
    <w:pPr>
      <w:spacing w:before="120"/>
      <w:outlineLvl w:val="3"/>
    </w:pPr>
  </w:style>
  <w:style w:type="paragraph" w:styleId="7">
    <w:name w:val="heading 5"/>
    <w:basedOn w:val="6"/>
    <w:next w:val="5"/>
    <w:link w:val="57"/>
    <w:qFormat/>
    <w:uiPriority w:val="0"/>
    <w:pPr>
      <w:outlineLvl w:val="4"/>
    </w:pPr>
  </w:style>
  <w:style w:type="paragraph" w:styleId="8">
    <w:name w:val="heading 6"/>
    <w:basedOn w:val="7"/>
    <w:next w:val="5"/>
    <w:link w:val="49"/>
    <w:qFormat/>
    <w:uiPriority w:val="0"/>
    <w:pPr>
      <w:outlineLvl w:val="5"/>
    </w:pPr>
  </w:style>
  <w:style w:type="paragraph" w:styleId="9">
    <w:name w:val="heading 7"/>
    <w:basedOn w:val="8"/>
    <w:next w:val="5"/>
    <w:link w:val="59"/>
    <w:qFormat/>
    <w:uiPriority w:val="0"/>
    <w:pPr>
      <w:outlineLvl w:val="6"/>
    </w:pPr>
  </w:style>
  <w:style w:type="paragraph" w:styleId="10">
    <w:name w:val="heading 8"/>
    <w:basedOn w:val="9"/>
    <w:next w:val="5"/>
    <w:link w:val="54"/>
    <w:qFormat/>
    <w:uiPriority w:val="0"/>
    <w:pPr>
      <w:outlineLvl w:val="7"/>
    </w:pPr>
  </w:style>
  <w:style w:type="paragraph" w:styleId="11">
    <w:name w:val="heading 9"/>
    <w:basedOn w:val="10"/>
    <w:next w:val="5"/>
    <w:link w:val="62"/>
    <w:qFormat/>
    <w:uiPriority w:val="0"/>
    <w:pPr>
      <w:outlineLvl w:val="8"/>
    </w:p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51"/>
    <w:qFormat/>
    <w:uiPriority w:val="0"/>
    <w:pPr>
      <w:widowControl/>
      <w:spacing w:after="240"/>
    </w:pPr>
    <w:rPr>
      <w:rFonts w:ascii="Arial" w:hAnsi="Arial"/>
      <w:kern w:val="0"/>
      <w:sz w:val="22"/>
      <w:szCs w:val="20"/>
      <w:lang w:val="en-GB" w:eastAsia="en-US"/>
    </w:rPr>
  </w:style>
  <w:style w:type="paragraph" w:styleId="12">
    <w:name w:val="caption"/>
    <w:basedOn w:val="1"/>
    <w:next w:val="1"/>
    <w:qFormat/>
    <w:uiPriority w:val="0"/>
    <w:pPr>
      <w:widowControl/>
      <w:spacing w:before="120" w:after="120" w:line="360" w:lineRule="auto"/>
      <w:ind w:left="1276" w:hanging="1276"/>
    </w:pPr>
    <w:rPr>
      <w:rFonts w:ascii="Arial" w:hAnsi="Arial"/>
      <w:b/>
      <w:i/>
      <w:kern w:val="0"/>
      <w:sz w:val="20"/>
      <w:szCs w:val="20"/>
      <w:lang w:val="de-DE" w:eastAsia="en-GB"/>
    </w:rPr>
  </w:style>
  <w:style w:type="paragraph" w:styleId="13">
    <w:name w:val="Document Map"/>
    <w:basedOn w:val="1"/>
    <w:semiHidden/>
    <w:qFormat/>
    <w:uiPriority w:val="0"/>
    <w:pPr>
      <w:shd w:val="clear" w:color="auto" w:fill="000080"/>
    </w:pPr>
  </w:style>
  <w:style w:type="paragraph" w:styleId="14">
    <w:name w:val="annotation text"/>
    <w:basedOn w:val="1"/>
    <w:link w:val="40"/>
    <w:qFormat/>
    <w:uiPriority w:val="0"/>
    <w:pPr>
      <w:jc w:val="left"/>
    </w:pPr>
    <w:rPr>
      <w:szCs w:val="20"/>
    </w:rPr>
  </w:style>
  <w:style w:type="paragraph" w:styleId="15">
    <w:name w:val="Body Text"/>
    <w:basedOn w:val="1"/>
    <w:link w:val="60"/>
    <w:qFormat/>
    <w:uiPriority w:val="0"/>
    <w:rPr>
      <w:rFonts w:ascii="仿宋_GB2312" w:hAnsi="宋体" w:eastAsia="仿宋_GB2312"/>
      <w:sz w:val="30"/>
      <w:szCs w:val="20"/>
    </w:rPr>
  </w:style>
  <w:style w:type="paragraph" w:styleId="16">
    <w:name w:val="Body Text Indent"/>
    <w:basedOn w:val="1"/>
    <w:qFormat/>
    <w:uiPriority w:val="0"/>
    <w:pPr>
      <w:tabs>
        <w:tab w:val="left" w:pos="3240"/>
      </w:tabs>
      <w:ind w:firstLine="600" w:firstLineChars="200"/>
    </w:pPr>
    <w:rPr>
      <w:rFonts w:ascii="仿宋_GB2312" w:hAnsi="宋体" w:eastAsia="仿宋_GB2312"/>
      <w:sz w:val="30"/>
      <w:szCs w:val="20"/>
    </w:rPr>
  </w:style>
  <w:style w:type="paragraph" w:styleId="17">
    <w:name w:val="Plain Text"/>
    <w:basedOn w:val="1"/>
    <w:link w:val="58"/>
    <w:qFormat/>
    <w:uiPriority w:val="0"/>
    <w:pPr>
      <w:widowControl/>
      <w:jc w:val="left"/>
    </w:pPr>
    <w:rPr>
      <w:rFonts w:ascii="Consolas" w:hAnsi="Consolas"/>
      <w:kern w:val="0"/>
      <w:szCs w:val="21"/>
      <w:lang w:eastAsia="en-US"/>
    </w:rPr>
  </w:style>
  <w:style w:type="paragraph" w:styleId="18">
    <w:name w:val="Date"/>
    <w:basedOn w:val="1"/>
    <w:next w:val="1"/>
    <w:qFormat/>
    <w:uiPriority w:val="0"/>
    <w:pPr>
      <w:ind w:left="100" w:leftChars="2500"/>
    </w:pPr>
  </w:style>
  <w:style w:type="paragraph" w:styleId="19">
    <w:name w:val="Body Text Indent 2"/>
    <w:basedOn w:val="1"/>
    <w:qFormat/>
    <w:uiPriority w:val="0"/>
    <w:pPr>
      <w:spacing w:after="100" w:line="360" w:lineRule="auto"/>
      <w:ind w:firstLine="600" w:firstLineChars="200"/>
    </w:pPr>
    <w:rPr>
      <w:rFonts w:ascii="仿宋_GB2312" w:eastAsia="仿宋_GB2312"/>
      <w:sz w:val="30"/>
    </w:rPr>
  </w:style>
  <w:style w:type="paragraph" w:styleId="20">
    <w:name w:val="endnote text"/>
    <w:basedOn w:val="1"/>
    <w:qFormat/>
    <w:uiPriority w:val="0"/>
    <w:pPr>
      <w:snapToGrid w:val="0"/>
      <w:jc w:val="left"/>
    </w:pPr>
  </w:style>
  <w:style w:type="paragraph" w:styleId="21">
    <w:name w:val="Balloon Text"/>
    <w:basedOn w:val="1"/>
    <w:semiHidden/>
    <w:qFormat/>
    <w:uiPriority w:val="0"/>
    <w:rPr>
      <w:sz w:val="18"/>
      <w:szCs w:val="18"/>
    </w:rPr>
  </w:style>
  <w:style w:type="paragraph" w:styleId="22">
    <w:name w:val="footer"/>
    <w:basedOn w:val="1"/>
    <w:link w:val="48"/>
    <w:qFormat/>
    <w:uiPriority w:val="0"/>
    <w:pPr>
      <w:tabs>
        <w:tab w:val="center" w:pos="4153"/>
        <w:tab w:val="right" w:pos="8306"/>
      </w:tabs>
      <w:snapToGrid w:val="0"/>
      <w:jc w:val="left"/>
    </w:pPr>
    <w:rPr>
      <w:sz w:val="18"/>
      <w:szCs w:val="18"/>
    </w:rPr>
  </w:style>
  <w:style w:type="paragraph" w:styleId="23">
    <w:name w:val="header"/>
    <w:basedOn w:val="1"/>
    <w:link w:val="61"/>
    <w:qFormat/>
    <w:uiPriority w:val="0"/>
    <w:pPr>
      <w:pBdr>
        <w:bottom w:val="single" w:color="auto" w:sz="6" w:space="1"/>
      </w:pBdr>
      <w:tabs>
        <w:tab w:val="center" w:pos="4153"/>
        <w:tab w:val="right" w:pos="8306"/>
      </w:tabs>
      <w:snapToGrid w:val="0"/>
      <w:jc w:val="center"/>
    </w:pPr>
    <w:rPr>
      <w:rFonts w:eastAsia="黑体"/>
      <w:b/>
      <w:sz w:val="30"/>
      <w:szCs w:val="20"/>
    </w:rPr>
  </w:style>
  <w:style w:type="paragraph" w:styleId="24">
    <w:name w:val="footnote text"/>
    <w:basedOn w:val="1"/>
    <w:link w:val="55"/>
    <w:semiHidden/>
    <w:qFormat/>
    <w:uiPriority w:val="0"/>
    <w:pPr>
      <w:snapToGrid w:val="0"/>
      <w:jc w:val="left"/>
    </w:pPr>
    <w:rPr>
      <w:sz w:val="18"/>
      <w:szCs w:val="18"/>
    </w:rPr>
  </w:style>
  <w:style w:type="paragraph" w:styleId="25">
    <w:name w:val="Body Text Indent 3"/>
    <w:basedOn w:val="1"/>
    <w:qFormat/>
    <w:uiPriority w:val="0"/>
    <w:pPr>
      <w:tabs>
        <w:tab w:val="left" w:pos="3240"/>
      </w:tabs>
      <w:spacing w:line="360" w:lineRule="auto"/>
      <w:ind w:firstLine="540"/>
    </w:pPr>
    <w:rPr>
      <w:rFonts w:ascii="仿宋_GB2312" w:eastAsia="仿宋_GB2312"/>
      <w:sz w:val="24"/>
      <w:szCs w:val="20"/>
    </w:rPr>
  </w:style>
  <w:style w:type="paragraph" w:styleId="2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7">
    <w:name w:val="Title"/>
    <w:basedOn w:val="1"/>
    <w:link w:val="64"/>
    <w:qFormat/>
    <w:uiPriority w:val="0"/>
    <w:pPr>
      <w:widowControl/>
      <w:spacing w:line="360" w:lineRule="auto"/>
      <w:jc w:val="center"/>
    </w:pPr>
    <w:rPr>
      <w:rFonts w:ascii="Arial" w:hAnsi="Arial"/>
      <w:b/>
      <w:kern w:val="0"/>
      <w:sz w:val="28"/>
      <w:szCs w:val="20"/>
      <w:lang w:val="de-DE" w:eastAsia="en-GB"/>
    </w:rPr>
  </w:style>
  <w:style w:type="paragraph" w:styleId="28">
    <w:name w:val="annotation subject"/>
    <w:basedOn w:val="14"/>
    <w:next w:val="14"/>
    <w:link w:val="145"/>
    <w:qFormat/>
    <w:uiPriority w:val="0"/>
    <w:rPr>
      <w:b/>
      <w:bCs/>
      <w:szCs w:val="24"/>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bCs/>
    </w:rPr>
  </w:style>
  <w:style w:type="character" w:styleId="33">
    <w:name w:val="endnote reference"/>
    <w:qFormat/>
    <w:uiPriority w:val="0"/>
    <w:rPr>
      <w:vertAlign w:val="superscript"/>
    </w:rPr>
  </w:style>
  <w:style w:type="character" w:styleId="34">
    <w:name w:val="page number"/>
    <w:basedOn w:val="31"/>
    <w:qFormat/>
    <w:uiPriority w:val="0"/>
  </w:style>
  <w:style w:type="character" w:styleId="35">
    <w:name w:val="FollowedHyperlink"/>
    <w:qFormat/>
    <w:uiPriority w:val="0"/>
    <w:rPr>
      <w:rFonts w:ascii="Arial" w:hAnsi="Arial"/>
      <w:color w:val="auto"/>
      <w:sz w:val="20"/>
      <w:u w:val="none"/>
    </w:rPr>
  </w:style>
  <w:style w:type="character" w:styleId="36">
    <w:name w:val="Hyperlink"/>
    <w:qFormat/>
    <w:uiPriority w:val="0"/>
    <w:rPr>
      <w:color w:val="3366CC"/>
      <w:u w:val="single"/>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paragraph" w:customStyle="1" w:styleId="39">
    <w:name w:val="默认段落字体 Para Char Char Char Char Char Char Char Char Char1 Char Char Char Char Char Char Char Char Char Char Char Char Char Char Char Char Char Char Char Char Char Char Char Char Char Char Char Char Char Char Char"/>
    <w:basedOn w:val="13"/>
    <w:qFormat/>
    <w:uiPriority w:val="0"/>
    <w:pPr>
      <w:jc w:val="left"/>
    </w:pPr>
    <w:rPr>
      <w:rFonts w:ascii="Tahoma" w:hAnsi="Tahoma"/>
      <w:sz w:val="24"/>
      <w:szCs w:val="28"/>
    </w:rPr>
  </w:style>
  <w:style w:type="character" w:customStyle="1" w:styleId="40">
    <w:name w:val="批注文字 字符"/>
    <w:link w:val="14"/>
    <w:qFormat/>
    <w:uiPriority w:val="0"/>
    <w:rPr>
      <w:rFonts w:eastAsia="宋体"/>
      <w:kern w:val="2"/>
      <w:sz w:val="21"/>
      <w:lang w:val="en-US" w:eastAsia="zh-CN" w:bidi="ar-SA"/>
    </w:rPr>
  </w:style>
  <w:style w:type="character" w:customStyle="1" w:styleId="41">
    <w:name w:val="style21"/>
    <w:qFormat/>
    <w:uiPriority w:val="0"/>
    <w:rPr>
      <w:color w:val="0000A0"/>
      <w:sz w:val="33"/>
      <w:szCs w:val="33"/>
    </w:rPr>
  </w:style>
  <w:style w:type="character" w:customStyle="1" w:styleId="42">
    <w:name w:val="标题 4 字符"/>
    <w:link w:val="6"/>
    <w:qFormat/>
    <w:uiPriority w:val="0"/>
    <w:rPr>
      <w:rFonts w:ascii="Arial" w:hAnsi="Arial" w:eastAsia="宋体"/>
      <w:b/>
      <w:i/>
      <w:kern w:val="2"/>
      <w:sz w:val="22"/>
      <w:lang w:val="en-GB" w:eastAsia="en-US" w:bidi="ar-SA"/>
    </w:rPr>
  </w:style>
  <w:style w:type="character" w:customStyle="1" w:styleId="43">
    <w:name w:val="Bullets Char"/>
    <w:link w:val="44"/>
    <w:qFormat/>
    <w:uiPriority w:val="0"/>
    <w:rPr>
      <w:rFonts w:ascii="Arial" w:hAnsi="Arial" w:eastAsia="MS Mincho"/>
      <w:sz w:val="22"/>
      <w:lang w:val="en-GB" w:eastAsia="ja-JP" w:bidi="ar-SA"/>
    </w:rPr>
  </w:style>
  <w:style w:type="paragraph" w:customStyle="1" w:styleId="44">
    <w:name w:val="Bullets"/>
    <w:basedOn w:val="1"/>
    <w:link w:val="43"/>
    <w:qFormat/>
    <w:uiPriority w:val="0"/>
    <w:pPr>
      <w:widowControl/>
      <w:spacing w:after="120"/>
      <w:ind w:left="720" w:hanging="360"/>
    </w:pPr>
    <w:rPr>
      <w:rFonts w:ascii="Arial" w:hAnsi="Arial" w:eastAsia="MS Mincho"/>
      <w:kern w:val="0"/>
      <w:sz w:val="22"/>
      <w:szCs w:val="20"/>
      <w:lang w:val="en-GB" w:eastAsia="ja-JP"/>
    </w:rPr>
  </w:style>
  <w:style w:type="character" w:customStyle="1" w:styleId="45">
    <w:name w:val="标题 2 字符"/>
    <w:link w:val="3"/>
    <w:qFormat/>
    <w:uiPriority w:val="0"/>
    <w:rPr>
      <w:rFonts w:ascii="Arial" w:hAnsi="Arial" w:eastAsia="黑体"/>
      <w:b/>
      <w:bCs/>
      <w:kern w:val="2"/>
      <w:sz w:val="24"/>
      <w:szCs w:val="32"/>
      <w:lang w:val="en-US" w:eastAsia="zh-CN" w:bidi="ar-SA"/>
    </w:rPr>
  </w:style>
  <w:style w:type="character" w:customStyle="1" w:styleId="46">
    <w:name w:val="标题 1 字符"/>
    <w:link w:val="2"/>
    <w:qFormat/>
    <w:uiPriority w:val="0"/>
    <w:rPr>
      <w:rFonts w:eastAsia="黑体"/>
      <w:b/>
      <w:kern w:val="2"/>
      <w:sz w:val="30"/>
      <w:lang w:val="en-US" w:eastAsia="zh-CN" w:bidi="ar-SA"/>
    </w:rPr>
  </w:style>
  <w:style w:type="character" w:customStyle="1" w:styleId="47">
    <w:name w:val="标题 3 字符"/>
    <w:link w:val="4"/>
    <w:qFormat/>
    <w:uiPriority w:val="0"/>
    <w:rPr>
      <w:rFonts w:ascii="Arial" w:hAnsi="Arial" w:eastAsia="宋体"/>
      <w:b/>
      <w:i/>
      <w:kern w:val="2"/>
      <w:sz w:val="22"/>
      <w:lang w:val="en-GB" w:eastAsia="en-US" w:bidi="ar-SA"/>
    </w:rPr>
  </w:style>
  <w:style w:type="character" w:customStyle="1" w:styleId="48">
    <w:name w:val="页脚 字符"/>
    <w:link w:val="22"/>
    <w:qFormat/>
    <w:uiPriority w:val="0"/>
    <w:rPr>
      <w:rFonts w:eastAsia="宋体"/>
      <w:kern w:val="2"/>
      <w:sz w:val="18"/>
      <w:szCs w:val="18"/>
      <w:lang w:val="en-US" w:eastAsia="zh-CN" w:bidi="ar-SA"/>
    </w:rPr>
  </w:style>
  <w:style w:type="character" w:customStyle="1" w:styleId="49">
    <w:name w:val="标题 6 字符"/>
    <w:link w:val="8"/>
    <w:qFormat/>
    <w:uiPriority w:val="0"/>
    <w:rPr>
      <w:rFonts w:ascii="Arial" w:hAnsi="Arial" w:eastAsia="宋体"/>
      <w:b/>
      <w:i/>
      <w:kern w:val="2"/>
      <w:sz w:val="22"/>
      <w:lang w:val="en-GB" w:eastAsia="en-US" w:bidi="ar-SA"/>
    </w:rPr>
  </w:style>
  <w:style w:type="character" w:customStyle="1" w:styleId="50">
    <w:name w:val="Section Char"/>
    <w:qFormat/>
    <w:uiPriority w:val="0"/>
    <w:rPr>
      <w:rFonts w:ascii="Arial" w:hAnsi="Arial" w:eastAsia="宋体"/>
      <w:b/>
      <w:sz w:val="22"/>
      <w:lang w:val="en-GB" w:eastAsia="en-US" w:bidi="ar-SA"/>
    </w:rPr>
  </w:style>
  <w:style w:type="character" w:customStyle="1" w:styleId="51">
    <w:name w:val="Paragraph Char"/>
    <w:link w:val="5"/>
    <w:qFormat/>
    <w:uiPriority w:val="0"/>
    <w:rPr>
      <w:rFonts w:ascii="Arial" w:hAnsi="Arial" w:eastAsia="宋体"/>
      <w:sz w:val="22"/>
      <w:lang w:val="en-GB" w:eastAsia="en-US" w:bidi="ar-SA"/>
    </w:rPr>
  </w:style>
  <w:style w:type="character" w:customStyle="1" w:styleId="52">
    <w:name w:val="Paragraph Char Char Char Char Char1"/>
    <w:link w:val="53"/>
    <w:qFormat/>
    <w:uiPriority w:val="0"/>
    <w:rPr>
      <w:rFonts w:ascii="Arial" w:hAnsi="Arial" w:eastAsia="宋体"/>
      <w:sz w:val="22"/>
      <w:lang w:val="en-GB" w:eastAsia="en-US" w:bidi="ar-SA"/>
    </w:rPr>
  </w:style>
  <w:style w:type="paragraph" w:customStyle="1" w:styleId="53">
    <w:name w:val="Paragraph Char Char Char Char"/>
    <w:basedOn w:val="1"/>
    <w:link w:val="52"/>
    <w:qFormat/>
    <w:uiPriority w:val="0"/>
    <w:pPr>
      <w:widowControl/>
      <w:spacing w:after="240"/>
    </w:pPr>
    <w:rPr>
      <w:rFonts w:ascii="Arial" w:hAnsi="Arial"/>
      <w:kern w:val="0"/>
      <w:sz w:val="22"/>
      <w:szCs w:val="20"/>
      <w:lang w:val="en-GB" w:eastAsia="en-US"/>
    </w:rPr>
  </w:style>
  <w:style w:type="character" w:customStyle="1" w:styleId="54">
    <w:name w:val="标题 8 字符"/>
    <w:link w:val="10"/>
    <w:qFormat/>
    <w:uiPriority w:val="0"/>
    <w:rPr>
      <w:rFonts w:ascii="Arial" w:hAnsi="Arial" w:eastAsia="宋体"/>
      <w:b/>
      <w:i/>
      <w:kern w:val="2"/>
      <w:sz w:val="22"/>
      <w:lang w:val="en-GB" w:eastAsia="en-US" w:bidi="ar-SA"/>
    </w:rPr>
  </w:style>
  <w:style w:type="character" w:customStyle="1" w:styleId="55">
    <w:name w:val="脚注文本 字符"/>
    <w:link w:val="24"/>
    <w:qFormat/>
    <w:uiPriority w:val="0"/>
    <w:rPr>
      <w:rFonts w:eastAsia="宋体"/>
      <w:kern w:val="2"/>
      <w:sz w:val="18"/>
      <w:szCs w:val="18"/>
      <w:lang w:val="en-US" w:eastAsia="zh-CN" w:bidi="ar-SA"/>
    </w:rPr>
  </w:style>
  <w:style w:type="character" w:customStyle="1" w:styleId="56">
    <w:name w:val="long_text1"/>
    <w:qFormat/>
    <w:uiPriority w:val="0"/>
    <w:rPr>
      <w:sz w:val="20"/>
      <w:szCs w:val="20"/>
    </w:rPr>
  </w:style>
  <w:style w:type="character" w:customStyle="1" w:styleId="57">
    <w:name w:val="标题 5 字符"/>
    <w:link w:val="7"/>
    <w:qFormat/>
    <w:uiPriority w:val="0"/>
    <w:rPr>
      <w:rFonts w:ascii="Arial" w:hAnsi="Arial" w:eastAsia="宋体"/>
      <w:b/>
      <w:i/>
      <w:kern w:val="2"/>
      <w:sz w:val="22"/>
      <w:lang w:val="en-GB" w:eastAsia="en-US" w:bidi="ar-SA"/>
    </w:rPr>
  </w:style>
  <w:style w:type="character" w:customStyle="1" w:styleId="58">
    <w:name w:val="纯文本 字符"/>
    <w:link w:val="17"/>
    <w:qFormat/>
    <w:uiPriority w:val="0"/>
    <w:rPr>
      <w:rFonts w:ascii="Consolas" w:hAnsi="Consolas" w:eastAsia="宋体"/>
      <w:sz w:val="21"/>
      <w:szCs w:val="21"/>
      <w:lang w:val="en-US" w:eastAsia="en-US" w:bidi="ar-SA"/>
    </w:rPr>
  </w:style>
  <w:style w:type="character" w:customStyle="1" w:styleId="59">
    <w:name w:val="标题 7 字符"/>
    <w:link w:val="9"/>
    <w:qFormat/>
    <w:uiPriority w:val="0"/>
    <w:rPr>
      <w:rFonts w:ascii="Arial" w:hAnsi="Arial" w:eastAsia="宋体"/>
      <w:b/>
      <w:i/>
      <w:kern w:val="2"/>
      <w:sz w:val="22"/>
      <w:lang w:val="en-GB" w:eastAsia="en-US" w:bidi="ar-SA"/>
    </w:rPr>
  </w:style>
  <w:style w:type="character" w:customStyle="1" w:styleId="60">
    <w:name w:val="正文文本 字符"/>
    <w:link w:val="15"/>
    <w:qFormat/>
    <w:uiPriority w:val="0"/>
    <w:rPr>
      <w:rFonts w:ascii="仿宋_GB2312" w:hAnsi="宋体" w:eastAsia="仿宋_GB2312"/>
      <w:kern w:val="2"/>
      <w:sz w:val="30"/>
      <w:lang w:val="en-US" w:eastAsia="zh-CN" w:bidi="ar-SA"/>
    </w:rPr>
  </w:style>
  <w:style w:type="character" w:customStyle="1" w:styleId="61">
    <w:name w:val="页眉 字符"/>
    <w:link w:val="23"/>
    <w:qFormat/>
    <w:uiPriority w:val="0"/>
    <w:rPr>
      <w:rFonts w:eastAsia="黑体"/>
      <w:b/>
      <w:kern w:val="2"/>
      <w:sz w:val="30"/>
      <w:lang w:val="en-US" w:eastAsia="zh-CN" w:bidi="ar-SA"/>
    </w:rPr>
  </w:style>
  <w:style w:type="character" w:customStyle="1" w:styleId="62">
    <w:name w:val="标题 9 字符"/>
    <w:link w:val="11"/>
    <w:qFormat/>
    <w:uiPriority w:val="0"/>
    <w:rPr>
      <w:rFonts w:ascii="Arial" w:hAnsi="Arial" w:eastAsia="宋体"/>
      <w:b/>
      <w:i/>
      <w:kern w:val="2"/>
      <w:sz w:val="22"/>
      <w:lang w:val="en-GB" w:eastAsia="en-US" w:bidi="ar-SA"/>
    </w:rPr>
  </w:style>
  <w:style w:type="character" w:customStyle="1" w:styleId="63">
    <w:name w:val="short_text1"/>
    <w:qFormat/>
    <w:uiPriority w:val="0"/>
    <w:rPr>
      <w:sz w:val="29"/>
      <w:szCs w:val="29"/>
    </w:rPr>
  </w:style>
  <w:style w:type="character" w:customStyle="1" w:styleId="64">
    <w:name w:val="标题 字符"/>
    <w:link w:val="27"/>
    <w:qFormat/>
    <w:uiPriority w:val="0"/>
    <w:rPr>
      <w:rFonts w:ascii="Arial" w:hAnsi="Arial" w:eastAsia="宋体"/>
      <w:b/>
      <w:sz w:val="28"/>
      <w:lang w:val="de-DE" w:eastAsia="en-GB" w:bidi="ar-SA"/>
    </w:rPr>
  </w:style>
  <w:style w:type="character" w:customStyle="1" w:styleId="65">
    <w:name w:val="Fußnote Char Char"/>
    <w:qFormat/>
    <w:uiPriority w:val="0"/>
    <w:rPr>
      <w:rFonts w:ascii="Arial" w:hAnsi="Arial" w:eastAsia="宋体"/>
      <w:sz w:val="18"/>
      <w:lang w:val="en-GB" w:eastAsia="en-US" w:bidi="ar-SA"/>
    </w:rPr>
  </w:style>
  <w:style w:type="paragraph" w:customStyle="1" w:styleId="66">
    <w:name w:val="TableSubtitle"/>
    <w:basedOn w:val="5"/>
    <w:qFormat/>
    <w:uiPriority w:val="0"/>
    <w:pPr>
      <w:jc w:val="center"/>
    </w:pPr>
    <w:rPr>
      <w:sz w:val="20"/>
    </w:rPr>
  </w:style>
  <w:style w:type="paragraph" w:customStyle="1" w:styleId="67">
    <w:name w:val="FootertextOdd"/>
    <w:basedOn w:val="1"/>
    <w:qFormat/>
    <w:uiPriority w:val="0"/>
    <w:pPr>
      <w:widowControl/>
      <w:jc w:val="left"/>
    </w:pPr>
    <w:rPr>
      <w:rFonts w:ascii="Arial" w:hAnsi="Arial"/>
      <w:kern w:val="0"/>
      <w:sz w:val="16"/>
      <w:szCs w:val="20"/>
      <w:lang w:val="en-GB" w:eastAsia="en-US"/>
    </w:rPr>
  </w:style>
  <w:style w:type="paragraph" w:customStyle="1" w:styleId="68">
    <w:name w:val="NTHeading 4"/>
    <w:basedOn w:val="6"/>
    <w:next w:val="5"/>
    <w:qFormat/>
    <w:uiPriority w:val="0"/>
  </w:style>
  <w:style w:type="paragraph" w:customStyle="1" w:styleId="69">
    <w:name w:val="NTIndented Heading 1"/>
    <w:basedOn w:val="70"/>
    <w:next w:val="5"/>
    <w:qFormat/>
    <w:uiPriority w:val="0"/>
  </w:style>
  <w:style w:type="paragraph" w:customStyle="1" w:styleId="70">
    <w:name w:val="Indented Heading 1"/>
    <w:basedOn w:val="2"/>
    <w:next w:val="5"/>
    <w:qFormat/>
    <w:uiPriority w:val="0"/>
    <w:pPr>
      <w:widowControl/>
      <w:spacing w:before="600" w:after="240"/>
      <w:ind w:left="851" w:hanging="851"/>
      <w:jc w:val="left"/>
    </w:pPr>
    <w:rPr>
      <w:rFonts w:ascii="Arial" w:hAnsi="Arial" w:eastAsia="宋体"/>
      <w:kern w:val="0"/>
      <w:sz w:val="26"/>
      <w:lang w:val="en-GB" w:eastAsia="en-US"/>
    </w:rPr>
  </w:style>
  <w:style w:type="paragraph" w:customStyle="1" w:styleId="71">
    <w:name w:val="NTIndented Heading 3"/>
    <w:basedOn w:val="72"/>
    <w:next w:val="5"/>
    <w:qFormat/>
    <w:uiPriority w:val="0"/>
  </w:style>
  <w:style w:type="paragraph" w:customStyle="1" w:styleId="72">
    <w:name w:val="Indented Heading 3"/>
    <w:basedOn w:val="4"/>
    <w:next w:val="5"/>
    <w:qFormat/>
    <w:uiPriority w:val="0"/>
    <w:pPr>
      <w:ind w:left="851" w:hanging="851"/>
    </w:pPr>
  </w:style>
  <w:style w:type="paragraph" w:customStyle="1" w:styleId="73">
    <w:name w:val="Footnote"/>
    <w:basedOn w:val="24"/>
    <w:qFormat/>
    <w:uiPriority w:val="0"/>
    <w:pPr>
      <w:widowControl/>
      <w:snapToGrid/>
      <w:spacing w:after="120"/>
      <w:ind w:left="284" w:hanging="284"/>
      <w:jc w:val="both"/>
    </w:pPr>
    <w:rPr>
      <w:rFonts w:ascii="Arial" w:hAnsi="Arial"/>
      <w:kern w:val="0"/>
      <w:szCs w:val="20"/>
      <w:lang w:val="en-GB" w:eastAsia="en-US"/>
    </w:rPr>
  </w:style>
  <w:style w:type="paragraph" w:customStyle="1" w:styleId="74">
    <w:name w:val="AnnexIndentedHeading 3"/>
    <w:basedOn w:val="72"/>
    <w:next w:val="6"/>
    <w:qFormat/>
    <w:uiPriority w:val="0"/>
  </w:style>
  <w:style w:type="paragraph" w:customStyle="1" w:styleId="75">
    <w:name w:val="NTHeading 1"/>
    <w:basedOn w:val="2"/>
    <w:next w:val="5"/>
    <w:qFormat/>
    <w:uiPriority w:val="0"/>
    <w:pPr>
      <w:widowControl/>
      <w:spacing w:before="600" w:after="240"/>
      <w:jc w:val="left"/>
    </w:pPr>
    <w:rPr>
      <w:rFonts w:ascii="Arial" w:hAnsi="Arial" w:eastAsia="宋体"/>
      <w:kern w:val="0"/>
      <w:sz w:val="26"/>
      <w:lang w:val="en-GB" w:eastAsia="en-US"/>
    </w:rPr>
  </w:style>
  <w:style w:type="paragraph" w:customStyle="1" w:styleId="76">
    <w:name w:val="目录 31"/>
    <w:basedOn w:val="1"/>
    <w:next w:val="1"/>
    <w:qFormat/>
    <w:uiPriority w:val="0"/>
    <w:pPr>
      <w:ind w:left="420"/>
      <w:jc w:val="left"/>
    </w:pPr>
    <w:rPr>
      <w:i/>
      <w:iCs/>
      <w:sz w:val="20"/>
      <w:szCs w:val="20"/>
    </w:rPr>
  </w:style>
  <w:style w:type="paragraph" w:customStyle="1" w:styleId="77">
    <w:name w:val="FootnoteSeparator"/>
    <w:basedOn w:val="1"/>
    <w:qFormat/>
    <w:uiPriority w:val="0"/>
    <w:pPr>
      <w:widowControl/>
      <w:spacing w:before="240" w:after="120"/>
      <w:jc w:val="left"/>
    </w:pPr>
    <w:rPr>
      <w:rFonts w:ascii="Arial" w:hAnsi="Arial"/>
      <w:kern w:val="0"/>
      <w:sz w:val="22"/>
      <w:szCs w:val="20"/>
      <w:lang w:val="en-GB" w:eastAsia="en-US"/>
    </w:rPr>
  </w:style>
  <w:style w:type="paragraph" w:customStyle="1" w:styleId="78">
    <w:name w:val="PubliTitle"/>
    <w:basedOn w:val="5"/>
    <w:next w:val="5"/>
    <w:qFormat/>
    <w:uiPriority w:val="0"/>
    <w:pPr>
      <w:keepNext/>
      <w:spacing w:after="600"/>
      <w:jc w:val="center"/>
    </w:pPr>
    <w:rPr>
      <w:b/>
      <w:sz w:val="30"/>
    </w:rPr>
  </w:style>
  <w:style w:type="paragraph" w:customStyle="1" w:styleId="79">
    <w:name w:val="empty"/>
    <w:basedOn w:val="1"/>
    <w:qFormat/>
    <w:uiPriority w:val="0"/>
    <w:pPr>
      <w:widowControl/>
      <w:jc w:val="left"/>
    </w:pPr>
    <w:rPr>
      <w:rFonts w:ascii="Arial" w:hAnsi="Arial"/>
      <w:color w:val="FFFFFF"/>
      <w:kern w:val="0"/>
      <w:sz w:val="22"/>
      <w:szCs w:val="20"/>
      <w:lang w:val="en-GB" w:eastAsia="en-US"/>
    </w:rPr>
  </w:style>
  <w:style w:type="paragraph" w:customStyle="1" w:styleId="80">
    <w:name w:val="_Style 10"/>
    <w:basedOn w:val="13"/>
    <w:qFormat/>
    <w:uiPriority w:val="0"/>
    <w:pPr>
      <w:jc w:val="left"/>
    </w:pPr>
    <w:rPr>
      <w:rFonts w:ascii="Tahoma" w:hAnsi="Tahoma"/>
      <w:sz w:val="24"/>
      <w:szCs w:val="28"/>
    </w:rPr>
  </w:style>
  <w:style w:type="paragraph" w:customStyle="1" w:styleId="81">
    <w:name w:val="AnnexIndentedHeading 4"/>
    <w:basedOn w:val="82"/>
    <w:next w:val="6"/>
    <w:qFormat/>
    <w:uiPriority w:val="0"/>
  </w:style>
  <w:style w:type="paragraph" w:customStyle="1" w:styleId="82">
    <w:name w:val="Indented Heading 4"/>
    <w:basedOn w:val="6"/>
    <w:next w:val="5"/>
    <w:qFormat/>
    <w:uiPriority w:val="0"/>
    <w:pPr>
      <w:ind w:left="851" w:hanging="851"/>
    </w:pPr>
  </w:style>
  <w:style w:type="paragraph" w:customStyle="1" w:styleId="83">
    <w:name w:val="目录 71"/>
    <w:basedOn w:val="1"/>
    <w:next w:val="1"/>
    <w:qFormat/>
    <w:uiPriority w:val="0"/>
    <w:pPr>
      <w:ind w:left="1260"/>
      <w:jc w:val="left"/>
    </w:pPr>
    <w:rPr>
      <w:sz w:val="18"/>
      <w:szCs w:val="18"/>
    </w:rPr>
  </w:style>
  <w:style w:type="paragraph" w:customStyle="1" w:styleId="84">
    <w:name w:val="列出段落1"/>
    <w:basedOn w:val="1"/>
    <w:qFormat/>
    <w:uiPriority w:val="0"/>
    <w:pPr>
      <w:widowControl/>
      <w:spacing w:after="200" w:line="276" w:lineRule="auto"/>
      <w:ind w:left="720"/>
      <w:jc w:val="left"/>
    </w:pPr>
    <w:rPr>
      <w:rFonts w:eastAsia="Calibri" w:cs="Calibri"/>
      <w:kern w:val="0"/>
      <w:sz w:val="22"/>
      <w:szCs w:val="22"/>
      <w:lang w:val="en-CA" w:eastAsia="en-US"/>
    </w:rPr>
  </w:style>
  <w:style w:type="paragraph" w:customStyle="1" w:styleId="85">
    <w:name w:val="AnnexHeading 4"/>
    <w:basedOn w:val="4"/>
    <w:qFormat/>
    <w:uiPriority w:val="0"/>
    <w:pPr>
      <w:spacing w:before="0"/>
      <w:outlineLvl w:val="3"/>
    </w:pPr>
    <w:rPr>
      <w:b w:val="0"/>
    </w:rPr>
  </w:style>
  <w:style w:type="paragraph" w:customStyle="1" w:styleId="86">
    <w:name w:val="目录 41"/>
    <w:basedOn w:val="1"/>
    <w:next w:val="1"/>
    <w:qFormat/>
    <w:uiPriority w:val="0"/>
    <w:pPr>
      <w:ind w:left="630"/>
      <w:jc w:val="left"/>
    </w:pPr>
    <w:rPr>
      <w:sz w:val="18"/>
      <w:szCs w:val="18"/>
    </w:rPr>
  </w:style>
  <w:style w:type="paragraph" w:customStyle="1" w:styleId="87">
    <w:name w:val="Indented Heading 2"/>
    <w:basedOn w:val="3"/>
    <w:next w:val="5"/>
    <w:qFormat/>
    <w:uiPriority w:val="0"/>
    <w:pPr>
      <w:keepLines w:val="0"/>
      <w:widowControl/>
      <w:spacing w:before="360" w:after="120" w:line="240" w:lineRule="auto"/>
      <w:ind w:left="851" w:hanging="851"/>
      <w:jc w:val="left"/>
    </w:pPr>
    <w:rPr>
      <w:rFonts w:eastAsia="宋体"/>
      <w:bCs w:val="0"/>
      <w:sz w:val="22"/>
      <w:szCs w:val="20"/>
      <w:lang w:val="en-GB" w:eastAsia="en-US"/>
    </w:rPr>
  </w:style>
  <w:style w:type="paragraph" w:customStyle="1" w:styleId="88">
    <w:name w:val="AnnexPubliSubtitle"/>
    <w:basedOn w:val="1"/>
    <w:next w:val="6"/>
    <w:qFormat/>
    <w:uiPriority w:val="0"/>
    <w:pPr>
      <w:keepNext/>
      <w:widowControl/>
      <w:spacing w:after="600"/>
      <w:jc w:val="center"/>
    </w:pPr>
    <w:rPr>
      <w:rFonts w:ascii="Arial" w:hAnsi="Arial"/>
      <w:b/>
      <w:kern w:val="0"/>
      <w:sz w:val="26"/>
      <w:szCs w:val="20"/>
      <w:lang w:val="en-GB" w:eastAsia="en-US"/>
    </w:rPr>
  </w:style>
  <w:style w:type="paragraph" w:customStyle="1" w:styleId="89">
    <w:name w:val="char"/>
    <w:basedOn w:val="1"/>
    <w:qFormat/>
    <w:uiPriority w:val="0"/>
    <w:pPr>
      <w:widowControl/>
      <w:spacing w:after="160"/>
      <w:jc w:val="left"/>
    </w:pPr>
    <w:rPr>
      <w:rFonts w:ascii="宋体" w:hAnsi="宋体" w:cs="”“Times New Roman”“"/>
      <w:kern w:val="0"/>
      <w:szCs w:val="21"/>
      <w:lang w:eastAsia="en-US"/>
    </w:rPr>
  </w:style>
  <w:style w:type="paragraph" w:customStyle="1" w:styleId="90">
    <w:name w:val="Default"/>
    <w:qFormat/>
    <w:uiPriority w:val="0"/>
    <w:pPr>
      <w:widowControl w:val="0"/>
      <w:autoSpaceDE w:val="0"/>
      <w:autoSpaceDN w:val="0"/>
      <w:adjustRightInd w:val="0"/>
    </w:pPr>
    <w:rPr>
      <w:rFonts w:ascii="华文中宋" w:hAnsi="Calibri" w:eastAsia="华文中宋" w:cs="华文中宋"/>
      <w:color w:val="000000"/>
      <w:sz w:val="24"/>
      <w:szCs w:val="24"/>
      <w:lang w:val="en-US" w:eastAsia="zh-CN" w:bidi="ar-SA"/>
    </w:rPr>
  </w:style>
  <w:style w:type="paragraph" w:customStyle="1" w:styleId="91">
    <w:name w:val="TableColumnHeading"/>
    <w:basedOn w:val="90"/>
    <w:next w:val="90"/>
    <w:qFormat/>
    <w:uiPriority w:val="0"/>
    <w:rPr>
      <w:rFonts w:ascii="Arial" w:hAnsi="Arial" w:eastAsia="宋体" w:cs="Arial"/>
      <w:color w:val="auto"/>
    </w:rPr>
  </w:style>
  <w:style w:type="paragraph" w:customStyle="1" w:styleId="92">
    <w:name w:val="AnnexHeading 3"/>
    <w:basedOn w:val="4"/>
    <w:next w:val="6"/>
    <w:qFormat/>
    <w:uiPriority w:val="0"/>
    <w:pPr>
      <w:tabs>
        <w:tab w:val="left" w:pos="360"/>
      </w:tabs>
      <w:ind w:left="360" w:hanging="360"/>
    </w:pPr>
  </w:style>
  <w:style w:type="paragraph" w:customStyle="1" w:styleId="93">
    <w:name w:val="目录 61"/>
    <w:basedOn w:val="1"/>
    <w:next w:val="1"/>
    <w:qFormat/>
    <w:uiPriority w:val="0"/>
    <w:pPr>
      <w:ind w:left="1050"/>
      <w:jc w:val="left"/>
    </w:pPr>
    <w:rPr>
      <w:sz w:val="18"/>
      <w:szCs w:val="18"/>
    </w:rPr>
  </w:style>
  <w:style w:type="paragraph" w:customStyle="1" w:styleId="94">
    <w:name w:val="Normal (Web)1"/>
    <w:basedOn w:val="1"/>
    <w:qFormat/>
    <w:uiPriority w:val="0"/>
    <w:pPr>
      <w:widowControl/>
      <w:spacing w:line="440" w:lineRule="exact"/>
      <w:ind w:firstLine="480" w:firstLineChars="200"/>
      <w:jc w:val="left"/>
    </w:pPr>
    <w:rPr>
      <w:rFonts w:hint="eastAsia" w:eastAsia="仿宋_GB2312"/>
      <w:color w:val="000000"/>
      <w:sz w:val="24"/>
      <w:szCs w:val="20"/>
    </w:rPr>
  </w:style>
  <w:style w:type="paragraph" w:customStyle="1" w:styleId="95">
    <w:name w:val="Char"/>
    <w:basedOn w:val="1"/>
    <w:qFormat/>
    <w:uiPriority w:val="0"/>
    <w:pPr>
      <w:widowControl/>
      <w:spacing w:after="160" w:line="240" w:lineRule="exact"/>
      <w:jc w:val="left"/>
    </w:pPr>
  </w:style>
  <w:style w:type="paragraph" w:customStyle="1" w:styleId="96">
    <w:name w:val="AnnexIndentedHeading 2"/>
    <w:basedOn w:val="87"/>
    <w:next w:val="6"/>
    <w:qFormat/>
    <w:uiPriority w:val="0"/>
  </w:style>
  <w:style w:type="paragraph" w:customStyle="1" w:styleId="97">
    <w:name w:val="PubliSubtitle"/>
    <w:basedOn w:val="5"/>
    <w:next w:val="5"/>
    <w:qFormat/>
    <w:uiPriority w:val="0"/>
    <w:pPr>
      <w:keepNext/>
      <w:spacing w:after="600"/>
      <w:jc w:val="center"/>
    </w:pPr>
    <w:rPr>
      <w:b/>
      <w:sz w:val="26"/>
    </w:rPr>
  </w:style>
  <w:style w:type="paragraph" w:customStyle="1" w:styleId="98">
    <w:name w:val="AnnexHeading 1"/>
    <w:basedOn w:val="2"/>
    <w:next w:val="6"/>
    <w:qFormat/>
    <w:uiPriority w:val="0"/>
    <w:pPr>
      <w:widowControl/>
      <w:spacing w:before="600" w:after="240"/>
      <w:jc w:val="left"/>
    </w:pPr>
    <w:rPr>
      <w:rFonts w:ascii="Arial" w:hAnsi="Arial" w:eastAsia="宋体"/>
      <w:kern w:val="0"/>
      <w:sz w:val="26"/>
      <w:lang w:val="en-GB" w:eastAsia="en-US"/>
    </w:rPr>
  </w:style>
  <w:style w:type="paragraph" w:customStyle="1" w:styleId="99">
    <w:name w:val="NTIndented Heading 2"/>
    <w:basedOn w:val="87"/>
    <w:next w:val="5"/>
    <w:qFormat/>
    <w:uiPriority w:val="0"/>
  </w:style>
  <w:style w:type="paragraph" w:customStyle="1" w:styleId="100">
    <w:name w:val="AnnexHeading 2"/>
    <w:basedOn w:val="3"/>
    <w:next w:val="6"/>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01">
    <w:name w:val="BoxText"/>
    <w:basedOn w:val="5"/>
    <w:qFormat/>
    <w:uiPriority w:val="0"/>
    <w:rPr>
      <w:sz w:val="20"/>
    </w:rPr>
  </w:style>
  <w:style w:type="paragraph" w:customStyle="1" w:styleId="102">
    <w:name w:val="Char Char Char Char"/>
    <w:basedOn w:val="1"/>
    <w:qFormat/>
    <w:uiPriority w:val="0"/>
    <w:rPr>
      <w:szCs w:val="20"/>
    </w:rPr>
  </w:style>
  <w:style w:type="paragraph" w:customStyle="1" w:styleId="103">
    <w:name w:val="TableText"/>
    <w:basedOn w:val="5"/>
    <w:qFormat/>
    <w:uiPriority w:val="0"/>
    <w:pPr>
      <w:keepNext/>
      <w:spacing w:before="60" w:after="60"/>
      <w:jc w:val="left"/>
    </w:pPr>
    <w:rPr>
      <w:sz w:val="20"/>
    </w:rPr>
  </w:style>
  <w:style w:type="paragraph" w:customStyle="1" w:styleId="104">
    <w:name w:val="NTHeading 3"/>
    <w:basedOn w:val="4"/>
    <w:next w:val="5"/>
    <w:qFormat/>
    <w:uiPriority w:val="0"/>
  </w:style>
  <w:style w:type="paragraph" w:customStyle="1" w:styleId="105">
    <w:name w:val="Footerempty"/>
    <w:basedOn w:val="22"/>
    <w:qFormat/>
    <w:uiPriority w:val="0"/>
    <w:pPr>
      <w:widowControl/>
      <w:tabs>
        <w:tab w:val="center" w:pos="4536"/>
        <w:tab w:val="right" w:pos="9072"/>
        <w:tab w:val="clear" w:pos="4153"/>
        <w:tab w:val="clear" w:pos="8306"/>
      </w:tabs>
      <w:snapToGrid/>
    </w:pPr>
    <w:rPr>
      <w:rFonts w:ascii="Arial" w:hAnsi="Arial"/>
      <w:color w:val="FFFFFF"/>
      <w:kern w:val="0"/>
      <w:sz w:val="2"/>
      <w:szCs w:val="20"/>
      <w:lang w:val="en-GB" w:eastAsia="en-US"/>
    </w:rPr>
  </w:style>
  <w:style w:type="paragraph" w:customStyle="1" w:styleId="106">
    <w:name w:val="目录 91"/>
    <w:basedOn w:val="1"/>
    <w:next w:val="1"/>
    <w:qFormat/>
    <w:uiPriority w:val="0"/>
    <w:pPr>
      <w:ind w:left="1680"/>
      <w:jc w:val="left"/>
    </w:pPr>
    <w:rPr>
      <w:sz w:val="18"/>
      <w:szCs w:val="18"/>
    </w:rPr>
  </w:style>
  <w:style w:type="paragraph" w:customStyle="1" w:styleId="107">
    <w:name w:val="目录 81"/>
    <w:basedOn w:val="1"/>
    <w:next w:val="1"/>
    <w:qFormat/>
    <w:uiPriority w:val="0"/>
    <w:pPr>
      <w:ind w:left="1470"/>
      <w:jc w:val="left"/>
    </w:pPr>
    <w:rPr>
      <w:sz w:val="18"/>
      <w:szCs w:val="18"/>
    </w:rPr>
  </w:style>
  <w:style w:type="paragraph" w:customStyle="1" w:styleId="108">
    <w:name w:val="TableNote"/>
    <w:basedOn w:val="5"/>
    <w:qFormat/>
    <w:uiPriority w:val="0"/>
    <w:pPr>
      <w:spacing w:before="120"/>
    </w:pPr>
    <w:rPr>
      <w:sz w:val="18"/>
    </w:rPr>
  </w:style>
  <w:style w:type="paragraph" w:customStyle="1" w:styleId="109">
    <w:name w:val="Emptyfooter"/>
    <w:basedOn w:val="79"/>
    <w:qFormat/>
    <w:uiPriority w:val="0"/>
    <w:rPr>
      <w:sz w:val="2"/>
    </w:rPr>
  </w:style>
  <w:style w:type="paragraph" w:customStyle="1" w:styleId="110">
    <w:name w:val="CoverTitle"/>
    <w:basedOn w:val="1"/>
    <w:next w:val="111"/>
    <w:qFormat/>
    <w:uiPriority w:val="0"/>
    <w:pPr>
      <w:widowControl/>
      <w:spacing w:before="120" w:after="120" w:line="480" w:lineRule="exact"/>
      <w:ind w:right="113"/>
      <w:jc w:val="left"/>
    </w:pPr>
    <w:rPr>
      <w:rFonts w:ascii="Arial Narrow" w:hAnsi="Arial Narrow"/>
      <w:b/>
      <w:kern w:val="0"/>
      <w:sz w:val="48"/>
      <w:szCs w:val="20"/>
      <w:lang w:val="en-GB" w:eastAsia="en-US"/>
    </w:rPr>
  </w:style>
  <w:style w:type="paragraph" w:customStyle="1" w:styleId="111">
    <w:name w:val="CoverDate"/>
    <w:basedOn w:val="1"/>
    <w:qFormat/>
    <w:uiPriority w:val="0"/>
    <w:pPr>
      <w:widowControl/>
      <w:spacing w:after="240"/>
      <w:ind w:right="113"/>
    </w:pPr>
    <w:rPr>
      <w:rFonts w:ascii="Arial Narrow" w:hAnsi="Arial Narrow"/>
      <w:kern w:val="0"/>
      <w:sz w:val="20"/>
      <w:szCs w:val="20"/>
      <w:lang w:val="en-GB" w:eastAsia="en-US"/>
    </w:rPr>
  </w:style>
  <w:style w:type="paragraph" w:customStyle="1" w:styleId="112">
    <w:name w:val="CoverCommitteeName"/>
    <w:basedOn w:val="1"/>
    <w:qFormat/>
    <w:uiPriority w:val="0"/>
    <w:pPr>
      <w:widowControl/>
      <w:spacing w:after="120" w:line="480" w:lineRule="exact"/>
    </w:pPr>
    <w:rPr>
      <w:rFonts w:ascii="Arial Narrow" w:hAnsi="Arial Narrow"/>
      <w:kern w:val="0"/>
      <w:sz w:val="48"/>
      <w:szCs w:val="20"/>
      <w:lang w:val="en-GB" w:eastAsia="en-US"/>
    </w:rPr>
  </w:style>
  <w:style w:type="paragraph" w:customStyle="1" w:styleId="113">
    <w:name w:val="TableTitle"/>
    <w:basedOn w:val="5"/>
    <w:qFormat/>
    <w:uiPriority w:val="0"/>
    <w:pPr>
      <w:keepNext/>
      <w:spacing w:before="120"/>
      <w:jc w:val="center"/>
    </w:pPr>
    <w:rPr>
      <w:b/>
    </w:rPr>
  </w:style>
  <w:style w:type="paragraph" w:customStyle="1" w:styleId="114">
    <w:name w:val="AnnexPubliTitle"/>
    <w:basedOn w:val="1"/>
    <w:next w:val="1"/>
    <w:qFormat/>
    <w:uiPriority w:val="0"/>
    <w:pPr>
      <w:keepNext/>
      <w:widowControl/>
      <w:spacing w:after="600"/>
      <w:jc w:val="center"/>
    </w:pPr>
    <w:rPr>
      <w:rFonts w:ascii="Arial" w:hAnsi="Arial"/>
      <w:b/>
      <w:kern w:val="0"/>
      <w:sz w:val="30"/>
      <w:szCs w:val="20"/>
      <w:lang w:val="en-GB" w:eastAsia="en-US"/>
    </w:rPr>
  </w:style>
  <w:style w:type="paragraph" w:customStyle="1" w:styleId="115">
    <w:name w:val="Char1"/>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16">
    <w:name w:val="BoxTitle"/>
    <w:basedOn w:val="5"/>
    <w:qFormat/>
    <w:uiPriority w:val="0"/>
    <w:pPr>
      <w:spacing w:before="120"/>
      <w:jc w:val="center"/>
    </w:pPr>
    <w:rPr>
      <w:b/>
      <w:bCs/>
      <w:sz w:val="20"/>
    </w:rPr>
  </w:style>
  <w:style w:type="paragraph" w:customStyle="1" w:styleId="117">
    <w:name w:val="Page Numbereven"/>
    <w:basedOn w:val="118"/>
    <w:qFormat/>
    <w:uiPriority w:val="0"/>
    <w:pPr>
      <w:jc w:val="left"/>
    </w:pPr>
  </w:style>
  <w:style w:type="paragraph" w:customStyle="1" w:styleId="118">
    <w:name w:val="FooterPageNumber"/>
    <w:basedOn w:val="67"/>
    <w:qFormat/>
    <w:uiPriority w:val="0"/>
    <w:pPr>
      <w:jc w:val="right"/>
    </w:pPr>
    <w:rPr>
      <w:sz w:val="20"/>
    </w:rPr>
  </w:style>
  <w:style w:type="paragraph" w:customStyle="1" w:styleId="119">
    <w:name w:val="目录 21"/>
    <w:basedOn w:val="1"/>
    <w:next w:val="1"/>
    <w:qFormat/>
    <w:uiPriority w:val="0"/>
    <w:pPr>
      <w:ind w:left="210"/>
      <w:jc w:val="left"/>
    </w:pPr>
    <w:rPr>
      <w:smallCaps/>
      <w:sz w:val="20"/>
      <w:szCs w:val="20"/>
    </w:rPr>
  </w:style>
  <w:style w:type="paragraph" w:customStyle="1" w:styleId="120">
    <w:name w:val="Confidentiality"/>
    <w:basedOn w:val="23"/>
    <w:next w:val="23"/>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lang w:val="en-GB" w:eastAsia="en-US"/>
    </w:rPr>
  </w:style>
  <w:style w:type="paragraph" w:customStyle="1" w:styleId="121">
    <w:name w:val="Copyright"/>
    <w:basedOn w:val="5"/>
    <w:next w:val="5"/>
    <w:qFormat/>
    <w:uiPriority w:val="0"/>
    <w:pPr>
      <w:spacing w:after="120"/>
      <w:ind w:left="284" w:hanging="284"/>
      <w:jc w:val="left"/>
    </w:pPr>
    <w:rPr>
      <w:i/>
      <w:sz w:val="20"/>
    </w:rPr>
  </w:style>
  <w:style w:type="paragraph" w:customStyle="1" w:styleId="122">
    <w:name w:val="ColumnHeading"/>
    <w:basedOn w:val="1"/>
    <w:qFormat/>
    <w:uiPriority w:val="0"/>
    <w:pPr>
      <w:widowControl/>
      <w:jc w:val="center"/>
    </w:pPr>
    <w:rPr>
      <w:rFonts w:ascii="Arial" w:hAnsi="Arial"/>
      <w:b/>
      <w:kern w:val="0"/>
      <w:sz w:val="20"/>
      <w:szCs w:val="20"/>
      <w:lang w:val="en-GB" w:eastAsia="en-US"/>
    </w:rPr>
  </w:style>
  <w:style w:type="paragraph" w:customStyle="1" w:styleId="123">
    <w:name w:val="aa"/>
    <w:basedOn w:val="1"/>
    <w:qFormat/>
    <w:uiPriority w:val="0"/>
    <w:pPr>
      <w:autoSpaceDE w:val="0"/>
      <w:autoSpaceDN w:val="0"/>
      <w:adjustRightInd w:val="0"/>
      <w:spacing w:line="360" w:lineRule="auto"/>
      <w:ind w:firstLine="640" w:firstLineChars="200"/>
      <w:jc w:val="left"/>
    </w:pPr>
    <w:rPr>
      <w:rFonts w:ascii="仿宋_GB2312" w:eastAsia="仿宋_GB2312"/>
      <w:sz w:val="32"/>
      <w:szCs w:val="32"/>
    </w:rPr>
  </w:style>
  <w:style w:type="paragraph" w:customStyle="1" w:styleId="124">
    <w:name w:val="目录 11"/>
    <w:basedOn w:val="1"/>
    <w:next w:val="1"/>
    <w:semiHidden/>
    <w:qFormat/>
    <w:uiPriority w:val="0"/>
    <w:pPr>
      <w:spacing w:before="120" w:after="120"/>
      <w:jc w:val="left"/>
    </w:pPr>
    <w:rPr>
      <w:b/>
      <w:bCs/>
      <w:caps/>
      <w:sz w:val="20"/>
      <w:szCs w:val="20"/>
    </w:rPr>
  </w:style>
  <w:style w:type="paragraph" w:customStyle="1" w:styleId="125">
    <w:name w:val="目录 51"/>
    <w:basedOn w:val="1"/>
    <w:next w:val="1"/>
    <w:qFormat/>
    <w:uiPriority w:val="0"/>
    <w:pPr>
      <w:ind w:left="840"/>
      <w:jc w:val="left"/>
    </w:pPr>
    <w:rPr>
      <w:sz w:val="18"/>
      <w:szCs w:val="18"/>
    </w:rPr>
  </w:style>
  <w:style w:type="paragraph" w:customStyle="1" w:styleId="126">
    <w:name w:val="Logo"/>
    <w:basedOn w:val="1"/>
    <w:qFormat/>
    <w:uiPriority w:val="0"/>
    <w:pPr>
      <w:widowControl/>
      <w:jc w:val="left"/>
    </w:pPr>
    <w:rPr>
      <w:rFonts w:ascii="Arial" w:hAnsi="Arial"/>
      <w:kern w:val="0"/>
      <w:sz w:val="22"/>
      <w:szCs w:val="20"/>
      <w:lang w:val="en-GB" w:eastAsia="en-US"/>
    </w:rPr>
  </w:style>
  <w:style w:type="paragraph" w:customStyle="1" w:styleId="127">
    <w:name w:val="NTIndented Heading 4"/>
    <w:basedOn w:val="82"/>
    <w:next w:val="5"/>
    <w:qFormat/>
    <w:uiPriority w:val="0"/>
  </w:style>
  <w:style w:type="paragraph" w:customStyle="1" w:styleId="128">
    <w:name w:val="ConfidentialityOdd"/>
    <w:basedOn w:val="23"/>
    <w:next w:val="23"/>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sz w:val="20"/>
      <w:lang w:val="en-GB" w:eastAsia="en-US"/>
    </w:rPr>
  </w:style>
  <w:style w:type="paragraph" w:customStyle="1" w:styleId="129">
    <w:name w:val="CoverSubtitle"/>
    <w:basedOn w:val="1"/>
    <w:next w:val="110"/>
    <w:qFormat/>
    <w:uiPriority w:val="0"/>
    <w:pPr>
      <w:widowControl/>
      <w:spacing w:before="120" w:after="360"/>
      <w:jc w:val="left"/>
    </w:pPr>
    <w:rPr>
      <w:rFonts w:ascii="Arial Narrow" w:hAnsi="Arial Narrow"/>
      <w:kern w:val="0"/>
      <w:sz w:val="48"/>
      <w:szCs w:val="20"/>
      <w:lang w:val="en-GB" w:eastAsia="en-US"/>
    </w:rPr>
  </w:style>
  <w:style w:type="paragraph" w:customStyle="1" w:styleId="130">
    <w:name w:val="TableOfContentsTitle"/>
    <w:basedOn w:val="5"/>
    <w:qFormat/>
    <w:uiPriority w:val="0"/>
    <w:pPr>
      <w:spacing w:after="600"/>
      <w:jc w:val="center"/>
    </w:pPr>
    <w:rPr>
      <w:b/>
      <w:sz w:val="26"/>
    </w:rPr>
  </w:style>
  <w:style w:type="paragraph" w:customStyle="1" w:styleId="131">
    <w:name w:val="Author"/>
    <w:basedOn w:val="5"/>
    <w:qFormat/>
    <w:uiPriority w:val="0"/>
    <w:pPr>
      <w:spacing w:after="600"/>
      <w:jc w:val="center"/>
    </w:pPr>
  </w:style>
  <w:style w:type="paragraph" w:customStyle="1" w:styleId="132">
    <w:name w:val="TableRowHeading"/>
    <w:basedOn w:val="5"/>
    <w:qFormat/>
    <w:uiPriority w:val="0"/>
    <w:pPr>
      <w:spacing w:before="60" w:after="60"/>
      <w:jc w:val="left"/>
    </w:pPr>
    <w:rPr>
      <w:sz w:val="20"/>
    </w:rPr>
  </w:style>
  <w:style w:type="paragraph" w:customStyle="1" w:styleId="133">
    <w:name w:val="ConfidentialityEven"/>
    <w:basedOn w:val="128"/>
    <w:next w:val="23"/>
    <w:qFormat/>
    <w:uiPriority w:val="0"/>
    <w:pPr>
      <w:jc w:val="left"/>
    </w:pPr>
  </w:style>
  <w:style w:type="paragraph" w:customStyle="1" w:styleId="134">
    <w:name w:val="FootertextEven"/>
    <w:basedOn w:val="67"/>
    <w:qFormat/>
    <w:uiPriority w:val="0"/>
    <w:pPr>
      <w:jc w:val="right"/>
    </w:pPr>
  </w:style>
  <w:style w:type="paragraph" w:customStyle="1" w:styleId="135">
    <w:name w:val="IndentedParagraph"/>
    <w:basedOn w:val="5"/>
    <w:qFormat/>
    <w:uiPriority w:val="0"/>
    <w:pPr>
      <w:ind w:left="851" w:hanging="851"/>
    </w:pPr>
  </w:style>
  <w:style w:type="paragraph" w:customStyle="1" w:styleId="136">
    <w:name w:val="TableNumber"/>
    <w:basedOn w:val="5"/>
    <w:qFormat/>
    <w:uiPriority w:val="0"/>
    <w:pPr>
      <w:keepNext/>
      <w:spacing w:before="120" w:after="0"/>
      <w:jc w:val="center"/>
    </w:pPr>
  </w:style>
  <w:style w:type="paragraph" w:customStyle="1" w:styleId="137">
    <w:name w:val="NTHeading 2"/>
    <w:basedOn w:val="3"/>
    <w:next w:val="5"/>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38">
    <w:name w:val="BoxNumber"/>
    <w:basedOn w:val="5"/>
    <w:qFormat/>
    <w:uiPriority w:val="0"/>
    <w:pPr>
      <w:spacing w:before="120" w:after="0"/>
      <w:jc w:val="center"/>
    </w:pPr>
    <w:rPr>
      <w:sz w:val="20"/>
    </w:rPr>
  </w:style>
  <w:style w:type="paragraph" w:customStyle="1" w:styleId="139">
    <w:name w:val="AnnexIndentedHeading 1"/>
    <w:basedOn w:val="1"/>
    <w:next w:val="6"/>
    <w:qFormat/>
    <w:uiPriority w:val="0"/>
    <w:pPr>
      <w:keepNext/>
      <w:widowControl/>
      <w:spacing w:before="600" w:after="240"/>
      <w:ind w:left="851" w:hanging="851"/>
      <w:jc w:val="left"/>
      <w:outlineLvl w:val="0"/>
    </w:pPr>
    <w:rPr>
      <w:rFonts w:ascii="Arial" w:hAnsi="Arial"/>
      <w:b/>
      <w:kern w:val="0"/>
      <w:sz w:val="26"/>
      <w:szCs w:val="20"/>
      <w:lang w:val="en-GB" w:eastAsia="en-US"/>
    </w:rPr>
  </w:style>
  <w:style w:type="paragraph" w:customStyle="1" w:styleId="140">
    <w:name w:val="列出段落"/>
    <w:basedOn w:val="1"/>
    <w:qFormat/>
    <w:uiPriority w:val="0"/>
    <w:pPr>
      <w:ind w:firstLine="420" w:firstLineChars="200"/>
    </w:pPr>
    <w:rPr>
      <w:szCs w:val="22"/>
    </w:rPr>
  </w:style>
  <w:style w:type="paragraph" w:customStyle="1" w:styleId="141">
    <w:name w:val="Footertext"/>
    <w:basedOn w:val="1"/>
    <w:qFormat/>
    <w:uiPriority w:val="0"/>
    <w:pPr>
      <w:widowControl/>
      <w:jc w:val="left"/>
    </w:pPr>
    <w:rPr>
      <w:rFonts w:ascii="Arial" w:hAnsi="Arial"/>
      <w:kern w:val="0"/>
      <w:sz w:val="16"/>
      <w:szCs w:val="20"/>
      <w:lang w:val="en-GB" w:eastAsia="en-US"/>
    </w:rPr>
  </w:style>
  <w:style w:type="paragraph" w:customStyle="1" w:styleId="142">
    <w:name w:val="修订1"/>
    <w:hidden/>
    <w:unhideWhenUsed/>
    <w:qFormat/>
    <w:uiPriority w:val="99"/>
    <w:rPr>
      <w:rFonts w:ascii="Calibri" w:hAnsi="Calibri" w:eastAsia="宋体" w:cs="Times New Roman"/>
      <w:kern w:val="2"/>
      <w:sz w:val="21"/>
      <w:szCs w:val="24"/>
      <w:lang w:val="en-US" w:eastAsia="zh-CN" w:bidi="ar-SA"/>
    </w:rPr>
  </w:style>
  <w:style w:type="paragraph" w:customStyle="1" w:styleId="143">
    <w:name w:val="修订2"/>
    <w:hidden/>
    <w:semiHidden/>
    <w:qFormat/>
    <w:uiPriority w:val="99"/>
    <w:rPr>
      <w:rFonts w:ascii="Calibri" w:hAnsi="Calibri" w:eastAsia="宋体" w:cs="Times New Roman"/>
      <w:kern w:val="2"/>
      <w:sz w:val="21"/>
      <w:szCs w:val="24"/>
      <w:lang w:val="en-US" w:eastAsia="zh-CN" w:bidi="ar-SA"/>
    </w:rPr>
  </w:style>
  <w:style w:type="paragraph" w:customStyle="1" w:styleId="144">
    <w:name w:val="修订3"/>
    <w:hidden/>
    <w:unhideWhenUsed/>
    <w:qFormat/>
    <w:uiPriority w:val="99"/>
    <w:rPr>
      <w:rFonts w:ascii="Calibri" w:hAnsi="Calibri" w:eastAsia="宋体" w:cs="Times New Roman"/>
      <w:kern w:val="2"/>
      <w:sz w:val="21"/>
      <w:szCs w:val="24"/>
      <w:lang w:val="en-US" w:eastAsia="zh-CN" w:bidi="ar-SA"/>
    </w:rPr>
  </w:style>
  <w:style w:type="character" w:customStyle="1" w:styleId="145">
    <w:name w:val="批注主题 字符"/>
    <w:basedOn w:val="40"/>
    <w:link w:val="28"/>
    <w:qFormat/>
    <w:uiPriority w:val="0"/>
    <w:rPr>
      <w:rFonts w:eastAsia="宋体"/>
      <w:b/>
      <w:bCs/>
      <w:kern w:val="2"/>
      <w:sz w:val="21"/>
      <w:szCs w:val="24"/>
      <w:lang w:val="en-US" w:eastAsia="zh-CN" w:bidi="ar-SA"/>
    </w:rPr>
  </w:style>
  <w:style w:type="paragraph" w:customStyle="1" w:styleId="146">
    <w:name w:val="Revision"/>
    <w:hidden/>
    <w:unhideWhenUsed/>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wmf"/><Relationship Id="rId25" Type="http://schemas.openxmlformats.org/officeDocument/2006/relationships/oleObject" Target="embeddings/oleObject7.bin"/><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1360</Words>
  <Characters>7753</Characters>
  <Lines>64</Lines>
  <Paragraphs>18</Paragraphs>
  <TotalTime>11</TotalTime>
  <ScaleCrop>false</ScaleCrop>
  <LinksUpToDate>false</LinksUpToDate>
  <CharactersWithSpaces>9095</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2023-05-21T01:13:00Z</dcterms:created>
  <dc:creator>CBRC</dc:creator>
  <cp:lastModifiedBy>王雅洁</cp:lastModifiedBy>
  <cp:lastPrinted>2013-03-30T23:41:00Z</cp:lastPrinted>
  <dcterms:modified xsi:type="dcterms:W3CDTF">2024-12-13T10:30:12Z</dcterms:modified>
  <dc:title>目录</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AF62991305554A368A29818E74122FBE_13</vt:lpwstr>
  </property>
</Properties>
</file>