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left="210" w:leftChars="100"/>
        <w:rPr>
          <w:color w:val="000000"/>
          <w:szCs w:val="30"/>
        </w:rPr>
      </w:pPr>
      <w:bookmarkStart w:id="0" w:name="_Toc333392978"/>
      <w:bookmarkStart w:id="1" w:name="_Toc425156145"/>
      <w:bookmarkStart w:id="2" w:name="_Toc23426"/>
      <w:bookmarkStart w:id="3" w:name="_Toc425156304"/>
      <w:bookmarkStart w:id="4" w:name="_Toc425237565"/>
      <w:r>
        <w:rPr>
          <w:color w:val="000000"/>
          <w:szCs w:val="30"/>
        </w:rPr>
        <w:t>G4E-6</w:t>
      </w:r>
      <w:r>
        <w:rPr>
          <w:rFonts w:hint="eastAsia"/>
          <w:color w:val="000000"/>
          <w:szCs w:val="30"/>
        </w:rPr>
        <w:t>（</w:t>
      </w:r>
      <w:r>
        <w:rPr>
          <w:color w:val="000000"/>
          <w:szCs w:val="30"/>
        </w:rPr>
        <w:t>a</w:t>
      </w:r>
      <w:r>
        <w:rPr>
          <w:rFonts w:hint="eastAsia"/>
          <w:color w:val="000000"/>
          <w:szCs w:val="30"/>
        </w:rPr>
        <w:t>）《与非中央交易对手衍生工具的交易对手信用风险情况表</w:t>
      </w:r>
      <w:bookmarkEnd w:id="0"/>
      <w:r>
        <w:rPr>
          <w:rFonts w:hint="eastAsia"/>
          <w:color w:val="000000"/>
          <w:szCs w:val="30"/>
        </w:rPr>
        <w:t>（</w:t>
      </w:r>
      <w:r>
        <w:rPr>
          <w:color w:val="000000"/>
          <w:szCs w:val="30"/>
        </w:rPr>
        <w:t>CEM IRB</w:t>
      </w:r>
      <w:r>
        <w:rPr>
          <w:rFonts w:hint="eastAsia"/>
          <w:color w:val="000000"/>
          <w:szCs w:val="30"/>
        </w:rPr>
        <w:t>法）》</w:t>
      </w:r>
      <w:r>
        <w:rPr>
          <w:rFonts w:hint="eastAsia"/>
          <w:color w:val="000000"/>
          <w:szCs w:val="30"/>
          <w:lang w:eastAsia="zh-CN"/>
        </w:rPr>
        <w:t>（新规）</w:t>
      </w:r>
      <w:r>
        <w:rPr>
          <w:rFonts w:hint="eastAsia"/>
          <w:color w:val="000000"/>
          <w:szCs w:val="30"/>
        </w:rPr>
        <w:t>填报说明</w:t>
      </w:r>
      <w:bookmarkEnd w:id="1"/>
      <w:bookmarkEnd w:id="2"/>
      <w:bookmarkEnd w:id="3"/>
      <w:bookmarkEnd w:id="4"/>
    </w:p>
    <w:p>
      <w:pPr>
        <w:spacing w:line="440" w:lineRule="exact"/>
        <w:rPr>
          <w:rFonts w:ascii="宋体" w:hAnsi="宋体"/>
          <w:b/>
          <w:color w:val="000000"/>
          <w:szCs w:val="21"/>
        </w:rPr>
      </w:pPr>
    </w:p>
    <w:p>
      <w:pPr>
        <w:spacing w:line="440" w:lineRule="exact"/>
        <w:rPr>
          <w:color w:val="000000"/>
        </w:rPr>
      </w:pPr>
      <w:r>
        <w:rPr>
          <w:rFonts w:hint="eastAsia" w:ascii="宋体" w:hAnsi="宋体"/>
          <w:b/>
          <w:color w:val="000000"/>
          <w:szCs w:val="21"/>
        </w:rPr>
        <w:t>第一部分：引言</w:t>
      </w:r>
    </w:p>
    <w:p>
      <w:pPr>
        <w:spacing w:line="480" w:lineRule="exact"/>
        <w:ind w:firstLine="420" w:firstLineChars="200"/>
        <w:rPr>
          <w:rFonts w:ascii="宋体" w:hAnsi="宋体" w:cs="宋体"/>
          <w:szCs w:val="21"/>
        </w:rPr>
      </w:pPr>
      <w:r>
        <w:rPr>
          <w:szCs w:val="21"/>
        </w:rPr>
        <w:t>本表根据《商业银行资本管理办法》</w:t>
      </w:r>
      <w:r>
        <w:rPr>
          <w:rFonts w:hint="eastAsia"/>
          <w:szCs w:val="21"/>
        </w:rPr>
        <w:t>（以下简称《办法》）</w:t>
      </w:r>
      <w:r>
        <w:rPr>
          <w:szCs w:val="21"/>
        </w:rPr>
        <w:t>的相关要求</w:t>
      </w:r>
      <w:r>
        <w:rPr>
          <w:rFonts w:hint="eastAsia"/>
          <w:szCs w:val="21"/>
        </w:rPr>
        <w:t>，</w:t>
      </w:r>
      <w:r>
        <w:rPr>
          <w:rFonts w:hint="eastAsia" w:ascii="宋体" w:hAnsi="宋体" w:cs="宋体"/>
          <w:szCs w:val="21"/>
        </w:rPr>
        <w:t>计算衍生工具的交易对手违约风险暴露，包括重置成本和潜在风险暴露。</w:t>
      </w:r>
    </w:p>
    <w:p>
      <w:pPr>
        <w:spacing w:line="440" w:lineRule="exact"/>
        <w:rPr>
          <w:b/>
          <w:bCs/>
          <w:color w:val="000000"/>
          <w:szCs w:val="21"/>
        </w:rPr>
      </w:pPr>
      <w:r>
        <w:rPr>
          <w:b/>
          <w:bCs/>
          <w:color w:val="000000"/>
          <w:szCs w:val="21"/>
        </w:rPr>
        <w:t>第二部分：一般说明</w:t>
      </w:r>
    </w:p>
    <w:p>
      <w:pPr>
        <w:spacing w:line="440" w:lineRule="exact"/>
        <w:ind w:firstLine="420" w:firstLineChars="200"/>
        <w:rPr>
          <w:color w:val="000000"/>
          <w:szCs w:val="21"/>
        </w:rPr>
      </w:pPr>
      <w:r>
        <w:rPr>
          <w:color w:val="000000"/>
          <w:szCs w:val="21"/>
        </w:rPr>
        <w:t>1．报表名称：</w:t>
      </w:r>
      <w:r>
        <w:rPr>
          <w:rFonts w:hint="eastAsia"/>
          <w:color w:val="000000"/>
          <w:szCs w:val="21"/>
        </w:rPr>
        <w:t>与非中央交易对手衍生工具的交易对手信用风险情况表（CEM IRB法）。</w:t>
      </w:r>
    </w:p>
    <w:p>
      <w:pPr>
        <w:spacing w:line="440" w:lineRule="exact"/>
        <w:ind w:firstLine="420" w:firstLineChars="200"/>
        <w:rPr>
          <w:color w:val="000000"/>
          <w:szCs w:val="21"/>
        </w:rPr>
      </w:pPr>
      <w:r>
        <w:rPr>
          <w:bCs/>
          <w:color w:val="000000"/>
          <w:szCs w:val="21"/>
        </w:rPr>
        <w:t>2．报表编码</w:t>
      </w:r>
      <w:r>
        <w:rPr>
          <w:color w:val="000000"/>
          <w:szCs w:val="21"/>
        </w:rPr>
        <w:t>：</w:t>
      </w:r>
      <w:r>
        <w:rPr>
          <w:rFonts w:hint="eastAsia"/>
          <w:color w:val="000000"/>
          <w:szCs w:val="21"/>
          <w:lang w:eastAsia="zh-CN"/>
        </w:rPr>
        <w:t>金</w:t>
      </w:r>
      <w:r>
        <w:rPr>
          <w:color w:val="000000"/>
          <w:szCs w:val="21"/>
        </w:rPr>
        <w:t>监</w:t>
      </w:r>
      <w:r>
        <w:rPr>
          <w:rFonts w:hint="eastAsia"/>
          <w:color w:val="000000"/>
          <w:szCs w:val="21"/>
          <w:lang w:eastAsia="zh-CN"/>
        </w:rPr>
        <w:t>统</w:t>
      </w:r>
      <w:r>
        <w:rPr>
          <w:color w:val="000000"/>
          <w:szCs w:val="30"/>
        </w:rPr>
        <w:t>G4E-6</w:t>
      </w:r>
      <w:r>
        <w:rPr>
          <w:rFonts w:hint="eastAsia"/>
          <w:color w:val="000000"/>
          <w:szCs w:val="30"/>
        </w:rPr>
        <w:t>（</w:t>
      </w:r>
      <w:r>
        <w:rPr>
          <w:color w:val="000000"/>
          <w:szCs w:val="30"/>
        </w:rPr>
        <w:t>a</w:t>
      </w:r>
      <w:r>
        <w:rPr>
          <w:rFonts w:hint="eastAsia"/>
          <w:color w:val="000000"/>
          <w:szCs w:val="30"/>
        </w:rPr>
        <w:t>）</w:t>
      </w:r>
      <w:r>
        <w:rPr>
          <w:color w:val="000000"/>
          <w:szCs w:val="21"/>
        </w:rPr>
        <w:t>号</w:t>
      </w:r>
      <w:r>
        <w:rPr>
          <w:rFonts w:hint="eastAsia"/>
          <w:color w:val="000000"/>
          <w:szCs w:val="21"/>
        </w:rPr>
        <w:t>。</w:t>
      </w:r>
    </w:p>
    <w:p>
      <w:pPr>
        <w:spacing w:line="440" w:lineRule="exact"/>
        <w:ind w:firstLine="420" w:firstLineChars="200"/>
        <w:rPr>
          <w:color w:val="0D0D0D"/>
          <w:szCs w:val="21"/>
        </w:rPr>
      </w:pPr>
      <w:r>
        <w:rPr>
          <w:color w:val="000000"/>
          <w:szCs w:val="21"/>
        </w:rPr>
        <w:t>3．填报机构：</w:t>
      </w:r>
      <w:r>
        <w:rPr>
          <w:rFonts w:hint="eastAsia"/>
          <w:color w:val="0D0D0D"/>
          <w:szCs w:val="21"/>
        </w:rPr>
        <w:t>经国家金融监督管理总局或其派出机构验收通过，实施信用风险内部评级法并满足采用现期风险暴露法计算交易对手违约风险暴露条件的商业银行。</w:t>
      </w:r>
    </w:p>
    <w:p>
      <w:pPr>
        <w:spacing w:line="440" w:lineRule="exact"/>
        <w:ind w:firstLine="420" w:firstLineChars="200"/>
        <w:rPr>
          <w:color w:val="000000"/>
          <w:szCs w:val="21"/>
        </w:rPr>
      </w:pPr>
      <w:r>
        <w:rPr>
          <w:rFonts w:ascii="宋体" w:hAnsi="宋体"/>
          <w:color w:val="000000"/>
          <w:szCs w:val="21"/>
        </w:rPr>
        <w:t>4</w:t>
      </w:r>
      <w:r>
        <w:rPr>
          <w:rFonts w:hint="eastAsia" w:ascii="宋体" w:hAnsi="宋体"/>
          <w:bCs/>
          <w:color w:val="000000"/>
          <w:szCs w:val="21"/>
        </w:rPr>
        <w:t>．</w:t>
      </w:r>
      <w:r>
        <w:rPr>
          <w:rFonts w:ascii="宋体" w:hAnsi="宋体"/>
          <w:color w:val="000000"/>
          <w:szCs w:val="21"/>
        </w:rPr>
        <w:t>报送</w:t>
      </w:r>
      <w:r>
        <w:rPr>
          <w:rFonts w:hint="eastAsia" w:ascii="宋体" w:hAnsi="宋体"/>
          <w:color w:val="000000"/>
          <w:szCs w:val="21"/>
        </w:rPr>
        <w:t>口径、</w:t>
      </w:r>
      <w:r>
        <w:rPr>
          <w:rFonts w:ascii="宋体" w:hAnsi="宋体"/>
          <w:color w:val="000000"/>
          <w:szCs w:val="21"/>
        </w:rPr>
        <w:t>频度</w:t>
      </w:r>
      <w:r>
        <w:rPr>
          <w:rFonts w:hint="eastAsia" w:ascii="宋体" w:hAnsi="宋体"/>
          <w:color w:val="000000"/>
          <w:szCs w:val="21"/>
        </w:rPr>
        <w:t>及时间</w:t>
      </w:r>
      <w:r>
        <w:rPr>
          <w:rFonts w:ascii="宋体" w:hAnsi="宋体"/>
          <w:color w:val="000000"/>
          <w:szCs w:val="21"/>
        </w:rPr>
        <w:t>：</w:t>
      </w:r>
      <w:r>
        <w:rPr>
          <w:color w:val="000000"/>
          <w:szCs w:val="21"/>
        </w:rPr>
        <w:t>法人汇总数据</w:t>
      </w:r>
      <w:r>
        <w:rPr>
          <w:szCs w:val="21"/>
        </w:rPr>
        <w:t>（季报）</w:t>
      </w:r>
      <w:r>
        <w:rPr>
          <w:color w:val="000000"/>
          <w:szCs w:val="21"/>
        </w:rPr>
        <w:t>为季后18日、合并报表数据</w:t>
      </w:r>
      <w:r>
        <w:rPr>
          <w:szCs w:val="21"/>
        </w:rPr>
        <w:t>（季报）为</w:t>
      </w:r>
      <w:r>
        <w:rPr>
          <w:color w:val="000000"/>
          <w:szCs w:val="21"/>
        </w:rPr>
        <w:t>季后40日。</w:t>
      </w:r>
    </w:p>
    <w:p>
      <w:pPr>
        <w:spacing w:line="440" w:lineRule="exact"/>
        <w:ind w:firstLine="420" w:firstLineChars="200"/>
        <w:rPr>
          <w:rFonts w:hint="eastAsia" w:ascii="宋体" w:hAnsi="宋体" w:eastAsia="宋体"/>
          <w:color w:val="000000"/>
          <w:szCs w:val="21"/>
          <w:highlight w:val="yellow"/>
          <w:lang w:val="en-US" w:eastAsia="zh-CN"/>
        </w:rPr>
      </w:pPr>
      <w:r>
        <w:rPr>
          <w:rFonts w:ascii="宋体" w:hAnsi="宋体"/>
          <w:color w:val="000000"/>
          <w:szCs w:val="21"/>
        </w:rPr>
        <w:t>5</w:t>
      </w:r>
      <w:r>
        <w:rPr>
          <w:rFonts w:hint="eastAsia" w:ascii="宋体" w:hAnsi="宋体"/>
          <w:bCs/>
          <w:color w:val="000000"/>
          <w:szCs w:val="21"/>
        </w:rPr>
        <w:t>．</w:t>
      </w:r>
      <w:r>
        <w:rPr>
          <w:rFonts w:ascii="宋体" w:hAnsi="宋体"/>
          <w:color w:val="000000"/>
          <w:szCs w:val="21"/>
        </w:rPr>
        <w:t>报送方式：</w:t>
      </w:r>
      <w:r>
        <w:rPr>
          <w:rFonts w:hint="eastAsia" w:ascii="宋体" w:hAnsi="宋体" w:cs="宋体"/>
          <w:szCs w:val="21"/>
          <w:highlight w:val="yellow"/>
        </w:rPr>
        <w:t>以工作底稿形式汇总反映在相关报表中</w:t>
      </w:r>
      <w:r>
        <w:rPr>
          <w:rFonts w:hint="eastAsia" w:ascii="宋体" w:hAnsi="宋体" w:cs="宋体"/>
          <w:szCs w:val="21"/>
          <w:highlight w:val="yellow"/>
          <w:lang w:eastAsia="zh-CN"/>
        </w:rPr>
        <w:t>。</w:t>
      </w:r>
      <w:bookmarkStart w:id="6" w:name="_GoBack"/>
      <w:bookmarkEnd w:id="6"/>
    </w:p>
    <w:p>
      <w:pPr>
        <w:spacing w:line="440" w:lineRule="exact"/>
        <w:ind w:firstLine="420" w:firstLineChars="200"/>
        <w:rPr>
          <w:rFonts w:ascii="宋体" w:hAnsi="宋体"/>
          <w:color w:val="000000"/>
          <w:szCs w:val="21"/>
        </w:rPr>
      </w:pPr>
      <w:r>
        <w:rPr>
          <w:rFonts w:hint="eastAsia" w:ascii="宋体" w:hAnsi="宋体"/>
          <w:color w:val="000000"/>
          <w:szCs w:val="21"/>
        </w:rPr>
        <w:t>6．</w:t>
      </w:r>
      <w:r>
        <w:rPr>
          <w:rFonts w:ascii="宋体" w:hAnsi="宋体"/>
          <w:color w:val="000000"/>
          <w:szCs w:val="21"/>
        </w:rPr>
        <w:t>数据单位：万元。</w:t>
      </w:r>
    </w:p>
    <w:p>
      <w:pPr>
        <w:spacing w:line="440" w:lineRule="exact"/>
        <w:ind w:firstLine="420" w:firstLineChars="200"/>
        <w:rPr>
          <w:rFonts w:ascii="宋体" w:hAnsi="宋体"/>
          <w:color w:val="000000"/>
          <w:szCs w:val="21"/>
        </w:rPr>
      </w:pPr>
      <w:r>
        <w:rPr>
          <w:rFonts w:hint="eastAsia" w:ascii="宋体" w:hAnsi="宋体"/>
          <w:color w:val="000000"/>
          <w:szCs w:val="21"/>
        </w:rPr>
        <w:t>7．</w:t>
      </w:r>
      <w:r>
        <w:rPr>
          <w:rFonts w:ascii="宋体" w:hAnsi="宋体"/>
          <w:color w:val="000000"/>
          <w:szCs w:val="21"/>
        </w:rPr>
        <w:t>四舍五入要求：金额保留</w:t>
      </w:r>
      <w:r>
        <w:rPr>
          <w:rFonts w:hint="eastAsia" w:ascii="宋体" w:hAnsi="宋体"/>
          <w:color w:val="000000"/>
          <w:szCs w:val="21"/>
        </w:rPr>
        <w:t>两位小数</w:t>
      </w:r>
      <w:r>
        <w:rPr>
          <w:rFonts w:ascii="宋体" w:hAnsi="宋体"/>
          <w:color w:val="000000"/>
          <w:szCs w:val="21"/>
        </w:rPr>
        <w:t>，</w:t>
      </w:r>
      <w:r>
        <w:rPr>
          <w:rFonts w:hint="eastAsia" w:ascii="宋体" w:hAnsi="宋体"/>
          <w:color w:val="000000"/>
          <w:szCs w:val="21"/>
        </w:rPr>
        <w:t>笔数保留整数，</w:t>
      </w:r>
      <w:r>
        <w:rPr>
          <w:rFonts w:ascii="宋体" w:hAnsi="宋体"/>
          <w:color w:val="000000"/>
          <w:szCs w:val="21"/>
        </w:rPr>
        <w:t>百分比保留两位小数。</w:t>
      </w:r>
    </w:p>
    <w:p>
      <w:pPr>
        <w:spacing w:line="440" w:lineRule="exact"/>
        <w:ind w:firstLine="420" w:firstLineChars="200"/>
        <w:rPr>
          <w:color w:val="000000"/>
          <w:szCs w:val="21"/>
        </w:rPr>
      </w:pPr>
      <w:r>
        <w:rPr>
          <w:rFonts w:hint="eastAsia" w:ascii="宋体" w:hAnsi="宋体"/>
          <w:color w:val="000000"/>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r>
        <w:rPr>
          <w:rFonts w:ascii="宋体" w:hAnsi="宋体"/>
          <w:color w:val="000000"/>
          <w:szCs w:val="21"/>
        </w:rPr>
        <w:t>。</w:t>
      </w:r>
    </w:p>
    <w:p>
      <w:pPr>
        <w:spacing w:line="440" w:lineRule="exact"/>
        <w:rPr>
          <w:b/>
          <w:bCs/>
          <w:color w:val="000000"/>
          <w:szCs w:val="21"/>
        </w:rPr>
      </w:pPr>
      <w:r>
        <w:rPr>
          <w:b/>
          <w:bCs/>
          <w:color w:val="000000"/>
          <w:szCs w:val="21"/>
        </w:rPr>
        <w:t>第</w:t>
      </w:r>
      <w:r>
        <w:rPr>
          <w:rFonts w:hint="eastAsia"/>
          <w:b/>
          <w:bCs/>
          <w:color w:val="000000"/>
          <w:szCs w:val="21"/>
        </w:rPr>
        <w:t>三</w:t>
      </w:r>
      <w:r>
        <w:rPr>
          <w:b/>
          <w:bCs/>
          <w:color w:val="000000"/>
          <w:szCs w:val="21"/>
        </w:rPr>
        <w:t>部分：</w:t>
      </w:r>
      <w:r>
        <w:rPr>
          <w:rFonts w:hint="eastAsia"/>
          <w:b/>
          <w:bCs/>
          <w:color w:val="000000"/>
          <w:szCs w:val="21"/>
        </w:rPr>
        <w:t>具体</w:t>
      </w:r>
      <w:r>
        <w:rPr>
          <w:b/>
          <w:bCs/>
          <w:color w:val="000000"/>
          <w:szCs w:val="21"/>
        </w:rPr>
        <w:t>说明</w:t>
      </w:r>
    </w:p>
    <w:p>
      <w:pPr>
        <w:spacing w:line="440" w:lineRule="exact"/>
        <w:ind w:firstLine="420" w:firstLineChars="200"/>
        <w:rPr>
          <w:color w:val="000000"/>
          <w:szCs w:val="21"/>
        </w:rPr>
      </w:pPr>
      <w:r>
        <w:rPr>
          <w:rFonts w:hint="eastAsia"/>
          <w:color w:val="000000"/>
          <w:szCs w:val="21"/>
        </w:rPr>
        <w:t>本表填报采用内部评级法计算的非中央交易对手衍生工具的交易对手违约风险加权资产。交易对手违约风险暴露应根据附件</w:t>
      </w:r>
      <w:r>
        <w:rPr>
          <w:color w:val="000000"/>
          <w:szCs w:val="21"/>
        </w:rPr>
        <w:t>9</w:t>
      </w:r>
      <w:r>
        <w:rPr>
          <w:rFonts w:hint="eastAsia"/>
          <w:color w:val="000000"/>
          <w:szCs w:val="21"/>
        </w:rPr>
        <w:t>规定的“现期风险暴露法”计算。</w:t>
      </w:r>
    </w:p>
    <w:p>
      <w:pPr>
        <w:spacing w:line="440" w:lineRule="exact"/>
        <w:ind w:firstLine="421" w:firstLineChars="200"/>
        <w:rPr>
          <w:b/>
          <w:color w:val="000000"/>
          <w:szCs w:val="21"/>
        </w:rPr>
      </w:pPr>
      <w:r>
        <w:rPr>
          <w:rFonts w:hint="eastAsia"/>
          <w:b/>
          <w:color w:val="000000"/>
          <w:szCs w:val="21"/>
        </w:rPr>
        <w:t>第I部分：无净额结算的违约风险暴露计算表（IRB法）</w:t>
      </w:r>
    </w:p>
    <w:p>
      <w:pPr>
        <w:spacing w:line="440" w:lineRule="exact"/>
        <w:ind w:firstLine="420" w:firstLineChars="200"/>
        <w:rPr>
          <w:color w:val="000000"/>
          <w:szCs w:val="21"/>
        </w:rPr>
      </w:pPr>
      <w:r>
        <w:rPr>
          <w:rFonts w:hint="eastAsia"/>
          <w:szCs w:val="21"/>
        </w:rPr>
        <w:t>填报机构应</w:t>
      </w:r>
      <w:r>
        <w:rPr>
          <w:szCs w:val="21"/>
        </w:rPr>
        <w:t>采用现期风险暴露法计算场外衍生工具交易的违约风险暴露（EAD），</w:t>
      </w:r>
      <w:r>
        <w:rPr>
          <w:rFonts w:hint="eastAsia"/>
          <w:szCs w:val="21"/>
        </w:rPr>
        <w:t>等于</w:t>
      </w:r>
      <w:r>
        <w:rPr>
          <w:szCs w:val="21"/>
        </w:rPr>
        <w:t>按盯市价值计算的重置成本</w:t>
      </w:r>
      <w:r>
        <w:rPr>
          <w:rFonts w:hint="eastAsia"/>
          <w:szCs w:val="21"/>
        </w:rPr>
        <w:t>（</w:t>
      </w:r>
      <w:r>
        <w:rPr>
          <w:szCs w:val="21"/>
        </w:rPr>
        <w:t>MTM</w:t>
      </w:r>
      <w:r>
        <w:rPr>
          <w:rFonts w:hint="eastAsia"/>
          <w:szCs w:val="21"/>
        </w:rPr>
        <w:t>）与</w:t>
      </w:r>
      <w:r>
        <w:rPr>
          <w:szCs w:val="21"/>
        </w:rPr>
        <w:t>潜在风险暴露的附加因子（Add-on）</w:t>
      </w:r>
      <w:r>
        <w:rPr>
          <w:rFonts w:hint="eastAsia"/>
          <w:szCs w:val="21"/>
        </w:rPr>
        <w:t>的合计；对于信用违约互换的信用保护卖方，</w:t>
      </w:r>
      <w:r>
        <w:rPr>
          <w:rFonts w:hint="eastAsia" w:ascii="宋体" w:hAnsi="宋体"/>
          <w:szCs w:val="21"/>
        </w:rPr>
        <w:t>只有在参照资产的发行人尚能履约但信用保护买方破产的情况下才需计算附加因子，且以信用保护买方尚未支付的费用为上限</w:t>
      </w:r>
      <w:r>
        <w:rPr>
          <w:rFonts w:hint="eastAsia"/>
          <w:szCs w:val="21"/>
        </w:rPr>
        <w:t>。</w:t>
      </w:r>
      <w:r>
        <w:rPr>
          <w:rFonts w:hint="eastAsia"/>
          <w:color w:val="000000"/>
          <w:szCs w:val="21"/>
        </w:rPr>
        <w:t>其中：</w:t>
      </w:r>
      <w:r>
        <w:rPr>
          <w:color w:val="000000"/>
          <w:szCs w:val="21"/>
        </w:rPr>
        <w:t>（1）MTM为按盯市价值计算的重置成本；（2）Add-on为反映剩余期限内潜在风险暴露的附加因子</w:t>
      </w:r>
      <w:r>
        <w:rPr>
          <w:rFonts w:hint="eastAsia"/>
          <w:color w:val="000000"/>
          <w:szCs w:val="21"/>
        </w:rPr>
        <w:t>；</w:t>
      </w:r>
      <w:r>
        <w:rPr>
          <w:color w:val="000000"/>
          <w:szCs w:val="21"/>
        </w:rPr>
        <w:t>（3）潜在风险暴露的附加因子（Add-on）等于衍生工具的名义本金乘以相应的附加系数。</w:t>
      </w:r>
      <w:r>
        <w:rPr>
          <w:rFonts w:hint="eastAsia"/>
          <w:color w:val="000000"/>
          <w:szCs w:val="21"/>
        </w:rPr>
        <w:t>若场外衍生工具交易符合</w:t>
      </w:r>
      <w:r>
        <w:rPr>
          <w:rFonts w:hint="eastAsia"/>
          <w:color w:val="000000"/>
        </w:rPr>
        <w:t>《办法》附件</w:t>
      </w:r>
      <w:r>
        <w:rPr>
          <w:color w:val="000000"/>
        </w:rPr>
        <w:t>9</w:t>
      </w:r>
      <w:r>
        <w:rPr>
          <w:rFonts w:hint="eastAsia"/>
          <w:color w:val="000000"/>
          <w:szCs w:val="21"/>
        </w:rPr>
        <w:t>对合格净额结算的要求，填报机构可根据规定计算净额条件下的违约风险暴露</w:t>
      </w:r>
      <w:r>
        <w:rPr>
          <w:rFonts w:hint="eastAsia"/>
          <w:color w:val="000000"/>
        </w:rPr>
        <w:t>。</w:t>
      </w:r>
    </w:p>
    <w:p>
      <w:pPr>
        <w:spacing w:line="440" w:lineRule="exact"/>
        <w:ind w:firstLine="420" w:firstLineChars="200"/>
        <w:rPr>
          <w:color w:val="000000"/>
        </w:rPr>
      </w:pPr>
      <w:r>
        <w:rPr>
          <w:color w:val="000000"/>
          <w:szCs w:val="21"/>
        </w:rPr>
        <w:t>[1.信用衍生工具]</w:t>
      </w:r>
      <w:r>
        <w:rPr>
          <w:rFonts w:hint="eastAsia"/>
          <w:color w:val="000000"/>
          <w:szCs w:val="21"/>
        </w:rPr>
        <w:t>：</w:t>
      </w:r>
      <w:r>
        <w:rPr>
          <w:color w:val="000000"/>
          <w:szCs w:val="21"/>
        </w:rPr>
        <w:t>是指填报机构持</w:t>
      </w:r>
      <w:r>
        <w:rPr>
          <w:color w:val="000000"/>
        </w:rPr>
        <w:t>有的与信用有关的金融合约，</w:t>
      </w:r>
      <w:r>
        <w:rPr>
          <w:rFonts w:hint="eastAsia"/>
          <w:color w:val="000000"/>
        </w:rPr>
        <w:t>具体为</w:t>
      </w:r>
      <w:r>
        <w:rPr>
          <w:color w:val="000000"/>
        </w:rPr>
        <w:t>交易双方中的一方缴纳权利金，将信用风险转让给另一方的合约。</w:t>
      </w:r>
    </w:p>
    <w:p>
      <w:pPr>
        <w:spacing w:line="440" w:lineRule="exact"/>
        <w:ind w:firstLine="420" w:firstLineChars="200"/>
        <w:rPr>
          <w:color w:val="000000"/>
        </w:rPr>
      </w:pPr>
      <w:r>
        <w:rPr>
          <w:color w:val="000000"/>
        </w:rPr>
        <w:t>[1.1标的资产为合格参照资产]</w:t>
      </w:r>
      <w:r>
        <w:rPr>
          <w:rFonts w:hint="eastAsia"/>
          <w:color w:val="000000"/>
        </w:rPr>
        <w:t>：</w:t>
      </w:r>
      <w:r>
        <w:rPr>
          <w:color w:val="000000"/>
        </w:rPr>
        <w:t>信用衍生工具的标的资产为</w:t>
      </w:r>
      <w:r>
        <w:rPr>
          <w:rFonts w:hint="eastAsia"/>
          <w:color w:val="000000"/>
        </w:rPr>
        <w:t>合格参照资产的，</w:t>
      </w:r>
      <w:r>
        <w:rPr>
          <w:color w:val="000000"/>
        </w:rPr>
        <w:t>适用于5%的转换系数。合格参照资产包括我国中央政府、中国人民银行</w:t>
      </w:r>
      <w:r>
        <w:rPr>
          <w:rFonts w:hint="eastAsia"/>
          <w:color w:val="000000"/>
        </w:rPr>
        <w:t>、</w:t>
      </w:r>
      <w:r>
        <w:rPr>
          <w:rFonts w:hint="eastAsia"/>
          <w:szCs w:val="21"/>
        </w:rPr>
        <w:t>开发性金融机构和</w:t>
      </w:r>
      <w:r>
        <w:rPr>
          <w:color w:val="000000"/>
        </w:rPr>
        <w:t>政策性银行发行的债券，以及</w:t>
      </w:r>
      <w:r>
        <w:rPr>
          <w:rFonts w:hint="eastAsia"/>
          <w:szCs w:val="21"/>
        </w:rPr>
        <w:t>本办法附件16所规定的政府证券</w:t>
      </w:r>
      <w:r>
        <w:rPr>
          <w:szCs w:val="21"/>
        </w:rPr>
        <w:t>和</w:t>
      </w:r>
      <w:r>
        <w:rPr>
          <w:rFonts w:hint="eastAsia"/>
          <w:szCs w:val="21"/>
        </w:rPr>
        <w:t>合格证券</w:t>
      </w:r>
      <w:r>
        <w:rPr>
          <w:color w:val="000000"/>
        </w:rPr>
        <w:t>。</w:t>
      </w:r>
    </w:p>
    <w:p>
      <w:pPr>
        <w:spacing w:line="440" w:lineRule="exact"/>
        <w:ind w:firstLine="420" w:firstLineChars="200"/>
        <w:rPr>
          <w:color w:val="000000"/>
          <w:szCs w:val="21"/>
        </w:rPr>
      </w:pPr>
      <w:r>
        <w:rPr>
          <w:color w:val="000000"/>
          <w:szCs w:val="21"/>
        </w:rPr>
        <w:t>[1.2标的资产</w:t>
      </w:r>
      <w:r>
        <w:rPr>
          <w:rFonts w:hint="eastAsia"/>
          <w:color w:val="000000"/>
          <w:szCs w:val="21"/>
        </w:rPr>
        <w:t>为</w:t>
      </w:r>
      <w:r>
        <w:rPr>
          <w:color w:val="000000"/>
          <w:szCs w:val="21"/>
        </w:rPr>
        <w:t>非合格参照资产]：</w:t>
      </w:r>
      <w:r>
        <w:rPr>
          <w:rFonts w:hint="eastAsia"/>
          <w:color w:val="000000"/>
          <w:szCs w:val="21"/>
        </w:rPr>
        <w:t>非合格</w:t>
      </w:r>
      <w:r>
        <w:rPr>
          <w:color w:val="000000"/>
          <w:szCs w:val="21"/>
        </w:rPr>
        <w:t>标的资产为除[1.1标的资产为合格参照资产]中规定的“合格参照资产”以外的资产。</w:t>
      </w:r>
    </w:p>
    <w:p>
      <w:pPr>
        <w:spacing w:line="480" w:lineRule="exact"/>
        <w:ind w:firstLine="421" w:firstLineChars="200"/>
        <w:jc w:val="center"/>
        <w:rPr>
          <w:b/>
          <w:color w:val="000000"/>
          <w:szCs w:val="21"/>
        </w:rPr>
      </w:pPr>
      <w:r>
        <w:rPr>
          <w:rFonts w:hint="eastAsia"/>
          <w:b/>
          <w:color w:val="000000"/>
          <w:szCs w:val="21"/>
        </w:rPr>
        <w:t>表1：</w:t>
      </w:r>
      <w:r>
        <w:rPr>
          <w:b/>
          <w:color w:val="000000"/>
          <w:szCs w:val="21"/>
        </w:rPr>
        <w:t>信用衍生工具的附加系数</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1"/>
        <w:gridCol w:w="2143"/>
        <w:gridCol w:w="1840"/>
        <w:gridCol w:w="16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vAlign w:val="center"/>
          </w:tcPr>
          <w:p>
            <w:pPr>
              <w:jc w:val="center"/>
              <w:rPr>
                <w:rFonts w:ascii="宋体" w:hAnsi="宋体"/>
                <w:color w:val="000000"/>
                <w:szCs w:val="21"/>
              </w:rPr>
            </w:pPr>
            <w:r>
              <w:rPr>
                <w:rFonts w:ascii="宋体" w:hAnsi="宋体"/>
                <w:color w:val="000000"/>
                <w:szCs w:val="21"/>
              </w:rPr>
              <w:t>类型</w:t>
            </w:r>
          </w:p>
        </w:tc>
        <w:tc>
          <w:tcPr>
            <w:tcW w:w="2143" w:type="dxa"/>
            <w:vAlign w:val="center"/>
          </w:tcPr>
          <w:p>
            <w:pPr>
              <w:jc w:val="center"/>
              <w:rPr>
                <w:rFonts w:ascii="宋体" w:hAnsi="宋体"/>
                <w:color w:val="000000"/>
                <w:szCs w:val="21"/>
              </w:rPr>
            </w:pPr>
            <w:r>
              <w:rPr>
                <w:rFonts w:ascii="宋体" w:hAnsi="宋体"/>
                <w:color w:val="000000"/>
                <w:szCs w:val="21"/>
              </w:rPr>
              <w:t>参照资产</w:t>
            </w:r>
          </w:p>
        </w:tc>
        <w:tc>
          <w:tcPr>
            <w:tcW w:w="1840" w:type="dxa"/>
            <w:vAlign w:val="center"/>
          </w:tcPr>
          <w:p>
            <w:pPr>
              <w:jc w:val="center"/>
              <w:rPr>
                <w:rFonts w:ascii="宋体" w:hAnsi="宋体"/>
                <w:color w:val="000000"/>
                <w:szCs w:val="21"/>
              </w:rPr>
            </w:pPr>
            <w:r>
              <w:rPr>
                <w:rFonts w:ascii="宋体" w:hAnsi="宋体"/>
                <w:color w:val="000000"/>
                <w:szCs w:val="21"/>
              </w:rPr>
              <w:t>信用保护买方（%）</w:t>
            </w:r>
          </w:p>
        </w:tc>
        <w:tc>
          <w:tcPr>
            <w:tcW w:w="1628" w:type="dxa"/>
            <w:vAlign w:val="center"/>
          </w:tcPr>
          <w:p>
            <w:pPr>
              <w:jc w:val="center"/>
              <w:rPr>
                <w:rFonts w:ascii="宋体" w:hAnsi="宋体"/>
                <w:color w:val="000000"/>
                <w:szCs w:val="21"/>
              </w:rPr>
            </w:pPr>
            <w:r>
              <w:rPr>
                <w:rFonts w:ascii="宋体" w:hAnsi="宋体"/>
                <w:color w:val="000000"/>
                <w:szCs w:val="21"/>
              </w:rPr>
              <w:t>信用保护卖方（%）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2911" w:type="dxa"/>
            <w:vMerge w:val="restart"/>
            <w:vAlign w:val="center"/>
          </w:tcPr>
          <w:p>
            <w:pPr>
              <w:jc w:val="left"/>
              <w:rPr>
                <w:rFonts w:ascii="宋体" w:hAnsi="宋体"/>
                <w:color w:val="000000"/>
                <w:szCs w:val="21"/>
              </w:rPr>
            </w:pPr>
            <w:r>
              <w:rPr>
                <w:rFonts w:hint="eastAsia" w:ascii="宋体" w:hAnsi="宋体"/>
                <w:kern w:val="0"/>
                <w:szCs w:val="21"/>
              </w:rPr>
              <w:t>具有总收益互换功能的信用衍生工具</w:t>
            </w:r>
          </w:p>
        </w:tc>
        <w:tc>
          <w:tcPr>
            <w:tcW w:w="2143" w:type="dxa"/>
            <w:vAlign w:val="center"/>
          </w:tcPr>
          <w:p>
            <w:pPr>
              <w:jc w:val="center"/>
              <w:rPr>
                <w:rFonts w:ascii="宋体" w:hAnsi="宋体"/>
                <w:color w:val="000000"/>
                <w:szCs w:val="21"/>
              </w:rPr>
            </w:pPr>
            <w:r>
              <w:rPr>
                <w:rFonts w:ascii="宋体" w:hAnsi="宋体"/>
                <w:color w:val="000000"/>
                <w:szCs w:val="21"/>
              </w:rPr>
              <w:t>合格参照资产</w:t>
            </w:r>
          </w:p>
        </w:tc>
        <w:tc>
          <w:tcPr>
            <w:tcW w:w="1840" w:type="dxa"/>
            <w:vAlign w:val="center"/>
          </w:tcPr>
          <w:p>
            <w:pPr>
              <w:jc w:val="center"/>
              <w:rPr>
                <w:rFonts w:ascii="宋体" w:hAnsi="宋体"/>
                <w:color w:val="000000"/>
                <w:szCs w:val="21"/>
              </w:rPr>
            </w:pPr>
            <w:r>
              <w:rPr>
                <w:rFonts w:ascii="宋体" w:hAnsi="宋体"/>
                <w:color w:val="000000"/>
                <w:szCs w:val="21"/>
              </w:rPr>
              <w:t>5</w:t>
            </w:r>
          </w:p>
        </w:tc>
        <w:tc>
          <w:tcPr>
            <w:tcW w:w="1628" w:type="dxa"/>
            <w:vAlign w:val="center"/>
          </w:tcPr>
          <w:p>
            <w:pPr>
              <w:jc w:val="center"/>
              <w:rPr>
                <w:rFonts w:ascii="宋体" w:hAnsi="宋体"/>
                <w:color w:val="000000"/>
                <w:szCs w:val="21"/>
              </w:rPr>
            </w:pPr>
            <w:r>
              <w:rPr>
                <w:rFonts w:ascii="宋体" w:hAnsi="宋体"/>
                <w:color w:val="000000"/>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vMerge w:val="continue"/>
            <w:vAlign w:val="center"/>
          </w:tcPr>
          <w:p>
            <w:pPr>
              <w:jc w:val="center"/>
              <w:rPr>
                <w:rFonts w:ascii="宋体" w:hAnsi="宋体"/>
                <w:color w:val="000000"/>
                <w:szCs w:val="21"/>
              </w:rPr>
            </w:pPr>
          </w:p>
        </w:tc>
        <w:tc>
          <w:tcPr>
            <w:tcW w:w="2143" w:type="dxa"/>
            <w:vAlign w:val="center"/>
          </w:tcPr>
          <w:p>
            <w:pPr>
              <w:jc w:val="center"/>
              <w:rPr>
                <w:rFonts w:ascii="宋体" w:hAnsi="宋体"/>
                <w:color w:val="000000"/>
                <w:szCs w:val="21"/>
              </w:rPr>
            </w:pPr>
            <w:r>
              <w:rPr>
                <w:rFonts w:ascii="宋体" w:hAnsi="宋体"/>
                <w:color w:val="000000"/>
                <w:szCs w:val="21"/>
              </w:rPr>
              <w:t>不合格参照资产</w:t>
            </w:r>
          </w:p>
        </w:tc>
        <w:tc>
          <w:tcPr>
            <w:tcW w:w="1840" w:type="dxa"/>
            <w:vAlign w:val="center"/>
          </w:tcPr>
          <w:p>
            <w:pPr>
              <w:jc w:val="center"/>
              <w:rPr>
                <w:rFonts w:ascii="宋体" w:hAnsi="宋体"/>
                <w:color w:val="000000"/>
                <w:szCs w:val="21"/>
              </w:rPr>
            </w:pPr>
            <w:r>
              <w:rPr>
                <w:rFonts w:ascii="宋体" w:hAnsi="宋体"/>
                <w:color w:val="000000"/>
                <w:szCs w:val="21"/>
              </w:rPr>
              <w:t>10</w:t>
            </w:r>
          </w:p>
        </w:tc>
        <w:tc>
          <w:tcPr>
            <w:tcW w:w="1628" w:type="dxa"/>
            <w:vAlign w:val="center"/>
          </w:tcPr>
          <w:p>
            <w:pPr>
              <w:jc w:val="center"/>
              <w:rPr>
                <w:rFonts w:ascii="宋体" w:hAnsi="宋体"/>
                <w:color w:val="000000"/>
                <w:szCs w:val="21"/>
              </w:rPr>
            </w:pPr>
            <w:r>
              <w:rPr>
                <w:rFonts w:ascii="宋体" w:hAnsi="宋体"/>
                <w:color w:val="000000"/>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vMerge w:val="restart"/>
            <w:vAlign w:val="center"/>
          </w:tcPr>
          <w:p>
            <w:pPr>
              <w:rPr>
                <w:rFonts w:ascii="宋体" w:hAnsi="宋体"/>
                <w:color w:val="000000"/>
                <w:szCs w:val="21"/>
              </w:rPr>
            </w:pPr>
            <w:r>
              <w:rPr>
                <w:rFonts w:hint="eastAsia" w:ascii="宋体" w:hAnsi="宋体"/>
                <w:color w:val="000000"/>
                <w:szCs w:val="21"/>
              </w:rPr>
              <w:t>信用违约互换、信用违约互换指数、信用风险缓释凭证、信用保护合约、信用保护凭证等具有上述产品功能的信用衍生工具</w:t>
            </w:r>
          </w:p>
        </w:tc>
        <w:tc>
          <w:tcPr>
            <w:tcW w:w="2143" w:type="dxa"/>
            <w:vAlign w:val="center"/>
          </w:tcPr>
          <w:p>
            <w:pPr>
              <w:jc w:val="center"/>
              <w:rPr>
                <w:rFonts w:ascii="宋体" w:hAnsi="宋体"/>
                <w:color w:val="000000"/>
                <w:szCs w:val="21"/>
              </w:rPr>
            </w:pPr>
            <w:r>
              <w:rPr>
                <w:rFonts w:ascii="宋体" w:hAnsi="宋体"/>
                <w:color w:val="000000"/>
                <w:szCs w:val="21"/>
              </w:rPr>
              <w:t>合格参照资产</w:t>
            </w:r>
          </w:p>
        </w:tc>
        <w:tc>
          <w:tcPr>
            <w:tcW w:w="1840" w:type="dxa"/>
            <w:vAlign w:val="center"/>
          </w:tcPr>
          <w:p>
            <w:pPr>
              <w:jc w:val="center"/>
              <w:rPr>
                <w:rFonts w:ascii="宋体" w:hAnsi="宋体"/>
                <w:color w:val="000000"/>
                <w:szCs w:val="21"/>
              </w:rPr>
            </w:pPr>
            <w:r>
              <w:rPr>
                <w:rFonts w:ascii="宋体" w:hAnsi="宋体"/>
                <w:color w:val="000000"/>
                <w:szCs w:val="21"/>
              </w:rPr>
              <w:t>5</w:t>
            </w:r>
          </w:p>
        </w:tc>
        <w:tc>
          <w:tcPr>
            <w:tcW w:w="1628" w:type="dxa"/>
            <w:vAlign w:val="center"/>
          </w:tcPr>
          <w:p>
            <w:pPr>
              <w:jc w:val="center"/>
              <w:rPr>
                <w:rFonts w:ascii="宋体" w:hAnsi="宋体"/>
                <w:color w:val="000000"/>
                <w:szCs w:val="21"/>
              </w:rPr>
            </w:pPr>
            <w:r>
              <w:rPr>
                <w:rFonts w:ascii="宋体" w:hAnsi="宋体"/>
                <w:color w:val="000000"/>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vMerge w:val="continue"/>
            <w:vAlign w:val="center"/>
          </w:tcPr>
          <w:p>
            <w:pPr>
              <w:jc w:val="center"/>
              <w:rPr>
                <w:rFonts w:ascii="宋体" w:hAnsi="宋体"/>
                <w:color w:val="000000"/>
                <w:szCs w:val="21"/>
              </w:rPr>
            </w:pPr>
          </w:p>
        </w:tc>
        <w:tc>
          <w:tcPr>
            <w:tcW w:w="2143" w:type="dxa"/>
            <w:vAlign w:val="center"/>
          </w:tcPr>
          <w:p>
            <w:pPr>
              <w:jc w:val="center"/>
              <w:rPr>
                <w:rFonts w:ascii="宋体" w:hAnsi="宋体"/>
                <w:color w:val="000000"/>
                <w:szCs w:val="21"/>
              </w:rPr>
            </w:pPr>
            <w:r>
              <w:rPr>
                <w:rFonts w:ascii="宋体" w:hAnsi="宋体"/>
                <w:color w:val="000000"/>
                <w:szCs w:val="21"/>
              </w:rPr>
              <w:t>不合格参照资产</w:t>
            </w:r>
          </w:p>
        </w:tc>
        <w:tc>
          <w:tcPr>
            <w:tcW w:w="1840" w:type="dxa"/>
            <w:vAlign w:val="center"/>
          </w:tcPr>
          <w:p>
            <w:pPr>
              <w:jc w:val="center"/>
              <w:rPr>
                <w:rFonts w:ascii="宋体" w:hAnsi="宋体"/>
                <w:color w:val="000000"/>
                <w:szCs w:val="21"/>
              </w:rPr>
            </w:pPr>
            <w:r>
              <w:rPr>
                <w:rFonts w:ascii="宋体" w:hAnsi="宋体"/>
                <w:color w:val="000000"/>
                <w:szCs w:val="21"/>
              </w:rPr>
              <w:t>10</w:t>
            </w:r>
          </w:p>
        </w:tc>
        <w:tc>
          <w:tcPr>
            <w:tcW w:w="1628" w:type="dxa"/>
            <w:vAlign w:val="center"/>
          </w:tcPr>
          <w:p>
            <w:pPr>
              <w:jc w:val="center"/>
              <w:rPr>
                <w:rFonts w:ascii="宋体" w:hAnsi="宋体"/>
                <w:color w:val="000000"/>
                <w:szCs w:val="21"/>
              </w:rPr>
            </w:pPr>
            <w:r>
              <w:rPr>
                <w:rFonts w:ascii="宋体" w:hAnsi="宋体"/>
                <w:color w:val="000000"/>
                <w:szCs w:val="21"/>
              </w:rPr>
              <w:t>10</w:t>
            </w:r>
          </w:p>
        </w:tc>
      </w:tr>
    </w:tbl>
    <w:p>
      <w:pPr>
        <w:spacing w:line="440" w:lineRule="exact"/>
        <w:ind w:firstLine="420" w:firstLineChars="200"/>
        <w:rPr>
          <w:color w:val="000000"/>
          <w:szCs w:val="21"/>
        </w:rPr>
      </w:pPr>
      <w:r>
        <w:rPr>
          <w:color w:val="000000"/>
          <w:szCs w:val="21"/>
        </w:rPr>
        <w:t>在信用衍生工具的参照资产由多项资产构成的情况下，如果参照资产组中第一项参照资产违约即算做整体违约，附加系数由参照资产组中信用质量最低的参照资产决定；如果参照资产组中第二项参照资产违约才算整体违约，则附加系数由信用质量次低的参照资产决定，依此类推。</w:t>
      </w:r>
    </w:p>
    <w:p>
      <w:pPr>
        <w:spacing w:line="440" w:lineRule="exact"/>
        <w:ind w:firstLine="420" w:firstLineChars="200"/>
        <w:rPr>
          <w:color w:val="000000"/>
          <w:szCs w:val="21"/>
        </w:rPr>
      </w:pPr>
      <w:r>
        <w:rPr>
          <w:rFonts w:hint="eastAsia"/>
          <w:color w:val="000000"/>
          <w:szCs w:val="21"/>
        </w:rPr>
        <w:t>在计算交易对手违约风险加权资产时，商业银行为对冲银行账簿信用风险或交易对手信用风险而购买的合格信用衍生工具，</w:t>
      </w:r>
      <w:r>
        <w:rPr>
          <w:rFonts w:hint="eastAsia"/>
          <w:szCs w:val="21"/>
        </w:rPr>
        <w:t>若在信用框架下已考虑风险缓释作用并足额计提风险加权资产，可认为</w:t>
      </w:r>
      <w:r>
        <w:rPr>
          <w:rFonts w:hint="eastAsia"/>
          <w:color w:val="000000"/>
          <w:szCs w:val="21"/>
        </w:rPr>
        <w:t>违约风险暴露为0。</w:t>
      </w:r>
      <w:r>
        <w:rPr>
          <w:rFonts w:hint="eastAsia"/>
          <w:szCs w:val="21"/>
        </w:rPr>
        <w:t>其中，合格信用衍生工具应符合《办法》附件3第四部分的标准。</w:t>
      </w:r>
      <w:r>
        <w:rPr>
          <w:rFonts w:hint="eastAsia"/>
          <w:color w:val="000000"/>
          <w:szCs w:val="21"/>
        </w:rPr>
        <w:t>若填报机构将销售的信用违约互换（CDS）放在银行账簿，并且将其当作保证来计算信用风险加权资产，则在计算交易对手违约风险加权资产时该信用违约互换的违约风险暴露为0。</w:t>
      </w:r>
    </w:p>
    <w:p>
      <w:pPr>
        <w:spacing w:line="440" w:lineRule="exact"/>
        <w:ind w:firstLine="420" w:firstLineChars="200"/>
        <w:rPr>
          <w:szCs w:val="21"/>
        </w:rPr>
      </w:pPr>
      <w:r>
        <w:rPr>
          <w:color w:val="000000"/>
          <w:szCs w:val="21"/>
        </w:rPr>
        <w:t>[2.利率衍生工具]</w:t>
      </w:r>
      <w:r>
        <w:rPr>
          <w:rFonts w:hint="eastAsia"/>
          <w:color w:val="000000"/>
          <w:szCs w:val="21"/>
        </w:rPr>
        <w:t>：</w:t>
      </w:r>
      <w:r>
        <w:rPr>
          <w:color w:val="000000"/>
          <w:szCs w:val="21"/>
        </w:rPr>
        <w:t>是指填报机构持有的与利率挂钩的金融衍生合约。利率衍生工具的价值通常来源于债券市场的价格或者参照利息，</w:t>
      </w:r>
      <w:r>
        <w:rPr>
          <w:szCs w:val="21"/>
        </w:rPr>
        <w:t>具体的利率衍生工具包括</w:t>
      </w:r>
      <w:r>
        <w:rPr>
          <w:rFonts w:hint="eastAsia"/>
          <w:szCs w:val="21"/>
        </w:rPr>
        <w:t>利率或</w:t>
      </w:r>
      <w:r>
        <w:rPr>
          <w:szCs w:val="21"/>
        </w:rPr>
        <w:t>债券期货、期权</w:t>
      </w:r>
      <w:r>
        <w:rPr>
          <w:rFonts w:hint="eastAsia"/>
          <w:szCs w:val="21"/>
        </w:rPr>
        <w:t>、</w:t>
      </w:r>
      <w:r>
        <w:rPr>
          <w:szCs w:val="21"/>
        </w:rPr>
        <w:t>掉期</w:t>
      </w:r>
      <w:r>
        <w:rPr>
          <w:rFonts w:hint="eastAsia"/>
          <w:szCs w:val="21"/>
        </w:rPr>
        <w:t>和远期合约</w:t>
      </w:r>
      <w:r>
        <w:rPr>
          <w:szCs w:val="21"/>
        </w:rPr>
        <w:t>。</w:t>
      </w:r>
    </w:p>
    <w:p>
      <w:pPr>
        <w:spacing w:line="440" w:lineRule="exact"/>
        <w:ind w:firstLine="420" w:firstLineChars="200"/>
        <w:rPr>
          <w:color w:val="000000"/>
          <w:szCs w:val="21"/>
        </w:rPr>
      </w:pPr>
      <w:r>
        <w:rPr>
          <w:color w:val="000000"/>
          <w:szCs w:val="21"/>
        </w:rPr>
        <w:t>[3.汇率和黄金衍生工具]</w:t>
      </w:r>
      <w:r>
        <w:rPr>
          <w:rFonts w:hint="eastAsia"/>
          <w:color w:val="000000"/>
          <w:szCs w:val="21"/>
        </w:rPr>
        <w:t>：</w:t>
      </w:r>
      <w:r>
        <w:rPr>
          <w:color w:val="000000"/>
          <w:szCs w:val="21"/>
        </w:rPr>
        <w:t>是指填报机构持有的与汇率和黄金价格挂钩的金融衍生合约。黄金衍生合约视同为汇率合约处理。汇率衍生合约包括外汇期货合约，汇率期权合约、汇率远期合约和互换合约。</w:t>
      </w:r>
    </w:p>
    <w:p>
      <w:pPr>
        <w:spacing w:line="440" w:lineRule="exact"/>
        <w:ind w:firstLine="420" w:firstLineChars="200"/>
        <w:rPr>
          <w:color w:val="000000"/>
          <w:szCs w:val="21"/>
        </w:rPr>
      </w:pPr>
      <w:r>
        <w:rPr>
          <w:color w:val="000000"/>
          <w:szCs w:val="21"/>
        </w:rPr>
        <w:t>[4.股权衍生工具]</w:t>
      </w:r>
      <w:r>
        <w:rPr>
          <w:rFonts w:hint="eastAsia"/>
          <w:color w:val="000000"/>
          <w:szCs w:val="21"/>
        </w:rPr>
        <w:t>：</w:t>
      </w:r>
      <w:r>
        <w:rPr>
          <w:color w:val="000000"/>
          <w:szCs w:val="21"/>
        </w:rPr>
        <w:t>是指填报机构持有的与股票、各种股票指数挂钩的金融衍生合约，具体包括股票或各种股票指数的期货、期权、认股权、远期契约等。</w:t>
      </w:r>
    </w:p>
    <w:p>
      <w:pPr>
        <w:spacing w:line="440" w:lineRule="exact"/>
        <w:ind w:firstLine="420" w:firstLineChars="200"/>
        <w:rPr>
          <w:color w:val="000000"/>
          <w:szCs w:val="21"/>
        </w:rPr>
      </w:pPr>
      <w:r>
        <w:rPr>
          <w:color w:val="000000"/>
          <w:szCs w:val="21"/>
        </w:rPr>
        <w:t>[5.贵金属衍生工具]：是指填报机构持有的与除黄金以外的贵金属价格挂钩的金融衍生合约。贵金属的品种包括银和铂族金属（钌、铑、钯、锇、铱、铂）等8种金属。</w:t>
      </w:r>
    </w:p>
    <w:p>
      <w:pPr>
        <w:spacing w:line="440" w:lineRule="exact"/>
        <w:ind w:firstLine="420" w:firstLineChars="200"/>
        <w:rPr>
          <w:color w:val="000000"/>
          <w:szCs w:val="21"/>
        </w:rPr>
      </w:pPr>
      <w:r>
        <w:rPr>
          <w:color w:val="000000"/>
          <w:szCs w:val="21"/>
        </w:rPr>
        <w:t>[6.其他商品衍生工具]</w:t>
      </w:r>
      <w:r>
        <w:rPr>
          <w:rFonts w:hint="eastAsia"/>
          <w:color w:val="000000"/>
          <w:szCs w:val="21"/>
        </w:rPr>
        <w:t>：</w:t>
      </w:r>
      <w:r>
        <w:rPr>
          <w:color w:val="000000"/>
          <w:szCs w:val="21"/>
        </w:rPr>
        <w:t>是指填报机构持有的与除[1]-[5]以外的商品价格挂钩的金融衍生合约。商品类型主要包括原油、有色金属、农产品、铁矿石、煤炭等。</w:t>
      </w:r>
    </w:p>
    <w:p>
      <w:pPr>
        <w:spacing w:line="440" w:lineRule="exact"/>
        <w:ind w:firstLine="420" w:firstLineChars="200"/>
        <w:rPr>
          <w:color w:val="000000"/>
          <w:kern w:val="0"/>
          <w:szCs w:val="21"/>
        </w:rPr>
      </w:pPr>
      <w:r>
        <w:rPr>
          <w:color w:val="000000"/>
          <w:szCs w:val="21"/>
        </w:rPr>
        <w:t>除信用衍生工具外，其他衍生工具的附加系数见下表。</w:t>
      </w:r>
    </w:p>
    <w:p>
      <w:pPr>
        <w:spacing w:line="480" w:lineRule="exact"/>
        <w:ind w:firstLine="421" w:firstLineChars="200"/>
        <w:jc w:val="center"/>
        <w:rPr>
          <w:b/>
          <w:color w:val="000000"/>
          <w:szCs w:val="21"/>
        </w:rPr>
      </w:pPr>
      <w:r>
        <w:rPr>
          <w:rFonts w:hint="eastAsia"/>
          <w:b/>
          <w:color w:val="000000"/>
          <w:szCs w:val="21"/>
        </w:rPr>
        <w:t>表2：</w:t>
      </w:r>
      <w:r>
        <w:rPr>
          <w:b/>
          <w:color w:val="000000"/>
          <w:szCs w:val="21"/>
        </w:rPr>
        <w:t>各类其他衍生工具的附加系数</w:t>
      </w:r>
      <w:r>
        <w:rPr>
          <w:rFonts w:hint="eastAsia"/>
          <w:b/>
          <w:color w:val="000000"/>
          <w:szCs w:val="21"/>
        </w:rPr>
        <w:t>(单位：%）</w:t>
      </w:r>
    </w:p>
    <w:tbl>
      <w:tblPr>
        <w:tblStyle w:val="8"/>
        <w:tblW w:w="0" w:type="auto"/>
        <w:tblInd w:w="93" w:type="dxa"/>
        <w:tblLayout w:type="fixed"/>
        <w:tblCellMar>
          <w:top w:w="0" w:type="dxa"/>
          <w:left w:w="108" w:type="dxa"/>
          <w:bottom w:w="0" w:type="dxa"/>
          <w:right w:w="108" w:type="dxa"/>
        </w:tblCellMar>
      </w:tblPr>
      <w:tblGrid>
        <w:gridCol w:w="2355"/>
        <w:gridCol w:w="1235"/>
        <w:gridCol w:w="1235"/>
        <w:gridCol w:w="1235"/>
        <w:gridCol w:w="1235"/>
        <w:gridCol w:w="1236"/>
      </w:tblGrid>
      <w:tr>
        <w:tblPrEx>
          <w:tblCellMar>
            <w:top w:w="0" w:type="dxa"/>
            <w:left w:w="108" w:type="dxa"/>
            <w:bottom w:w="0" w:type="dxa"/>
            <w:right w:w="108" w:type="dxa"/>
          </w:tblCellMar>
        </w:tblPrEx>
        <w:trPr>
          <w:trHeight w:val="480" w:hRule="atLeast"/>
        </w:trPr>
        <w:tc>
          <w:tcPr>
            <w:tcW w:w="2355" w:type="dxa"/>
            <w:tcBorders>
              <w:top w:val="single" w:color="auto" w:sz="4" w:space="0"/>
              <w:left w:val="single" w:color="auto" w:sz="4" w:space="0"/>
              <w:bottom w:val="single" w:color="auto" w:sz="4" w:space="0"/>
              <w:right w:val="single" w:color="auto" w:sz="4" w:space="0"/>
            </w:tcBorders>
            <w:vAlign w:val="center"/>
          </w:tcPr>
          <w:p>
            <w:pPr>
              <w:widowControl/>
              <w:jc w:val="center"/>
              <w:rPr>
                <w:color w:val="000000"/>
                <w:kern w:val="0"/>
                <w:szCs w:val="21"/>
              </w:rPr>
            </w:pPr>
            <w:r>
              <w:rPr>
                <w:rFonts w:hAnsi="宋体"/>
                <w:color w:val="000000"/>
                <w:kern w:val="0"/>
                <w:szCs w:val="21"/>
              </w:rPr>
              <w:t>剩余期限</w:t>
            </w:r>
          </w:p>
        </w:tc>
        <w:tc>
          <w:tcPr>
            <w:tcW w:w="1235" w:type="dxa"/>
            <w:tcBorders>
              <w:top w:val="single" w:color="auto" w:sz="4" w:space="0"/>
              <w:left w:val="nil"/>
              <w:bottom w:val="single" w:color="auto" w:sz="4" w:space="0"/>
              <w:right w:val="single" w:color="auto" w:sz="4" w:space="0"/>
            </w:tcBorders>
            <w:vAlign w:val="center"/>
          </w:tcPr>
          <w:p>
            <w:pPr>
              <w:widowControl/>
              <w:jc w:val="center"/>
              <w:rPr>
                <w:color w:val="000000"/>
                <w:kern w:val="0"/>
                <w:szCs w:val="21"/>
              </w:rPr>
            </w:pPr>
            <w:r>
              <w:rPr>
                <w:rFonts w:hAnsi="宋体"/>
                <w:color w:val="000000"/>
                <w:kern w:val="0"/>
                <w:szCs w:val="21"/>
              </w:rPr>
              <w:t>利率</w:t>
            </w:r>
          </w:p>
        </w:tc>
        <w:tc>
          <w:tcPr>
            <w:tcW w:w="1235" w:type="dxa"/>
            <w:tcBorders>
              <w:top w:val="single" w:color="auto" w:sz="4" w:space="0"/>
              <w:left w:val="nil"/>
              <w:bottom w:val="single" w:color="auto" w:sz="4" w:space="0"/>
              <w:right w:val="single" w:color="auto" w:sz="4" w:space="0"/>
            </w:tcBorders>
            <w:vAlign w:val="center"/>
          </w:tcPr>
          <w:p>
            <w:pPr>
              <w:widowControl/>
              <w:jc w:val="center"/>
              <w:rPr>
                <w:color w:val="000000"/>
                <w:kern w:val="0"/>
                <w:szCs w:val="21"/>
              </w:rPr>
            </w:pPr>
            <w:r>
              <w:rPr>
                <w:rFonts w:hAnsi="宋体"/>
                <w:color w:val="000000"/>
                <w:kern w:val="0"/>
                <w:szCs w:val="21"/>
              </w:rPr>
              <w:t>汇率和黄金</w:t>
            </w:r>
          </w:p>
        </w:tc>
        <w:tc>
          <w:tcPr>
            <w:tcW w:w="1235" w:type="dxa"/>
            <w:tcBorders>
              <w:top w:val="single" w:color="auto" w:sz="4" w:space="0"/>
              <w:left w:val="nil"/>
              <w:bottom w:val="single" w:color="auto" w:sz="4" w:space="0"/>
              <w:right w:val="single" w:color="auto" w:sz="4" w:space="0"/>
            </w:tcBorders>
            <w:vAlign w:val="center"/>
          </w:tcPr>
          <w:p>
            <w:pPr>
              <w:widowControl/>
              <w:jc w:val="center"/>
              <w:rPr>
                <w:color w:val="000000"/>
                <w:kern w:val="0"/>
                <w:szCs w:val="21"/>
              </w:rPr>
            </w:pPr>
            <w:r>
              <w:rPr>
                <w:rFonts w:hAnsi="宋体"/>
                <w:color w:val="000000"/>
                <w:kern w:val="0"/>
                <w:szCs w:val="21"/>
              </w:rPr>
              <w:t>股权</w:t>
            </w:r>
          </w:p>
        </w:tc>
        <w:tc>
          <w:tcPr>
            <w:tcW w:w="1235" w:type="dxa"/>
            <w:tcBorders>
              <w:top w:val="single" w:color="auto" w:sz="4" w:space="0"/>
              <w:left w:val="nil"/>
              <w:bottom w:val="single" w:color="auto" w:sz="4" w:space="0"/>
              <w:right w:val="single" w:color="auto" w:sz="4" w:space="0"/>
            </w:tcBorders>
            <w:vAlign w:val="center"/>
          </w:tcPr>
          <w:p>
            <w:pPr>
              <w:widowControl/>
              <w:jc w:val="center"/>
              <w:rPr>
                <w:color w:val="000000"/>
                <w:kern w:val="0"/>
                <w:szCs w:val="21"/>
              </w:rPr>
            </w:pPr>
            <w:r>
              <w:rPr>
                <w:rFonts w:hAnsi="宋体"/>
                <w:color w:val="000000"/>
                <w:kern w:val="0"/>
                <w:szCs w:val="21"/>
              </w:rPr>
              <w:t>黄金以外的贵金属</w:t>
            </w:r>
          </w:p>
        </w:tc>
        <w:tc>
          <w:tcPr>
            <w:tcW w:w="1236" w:type="dxa"/>
            <w:tcBorders>
              <w:top w:val="single" w:color="auto" w:sz="4" w:space="0"/>
              <w:left w:val="nil"/>
              <w:bottom w:val="single" w:color="auto" w:sz="4" w:space="0"/>
              <w:right w:val="single" w:color="auto" w:sz="4" w:space="0"/>
            </w:tcBorders>
            <w:vAlign w:val="center"/>
          </w:tcPr>
          <w:p>
            <w:pPr>
              <w:widowControl/>
              <w:jc w:val="center"/>
              <w:rPr>
                <w:color w:val="000000"/>
                <w:kern w:val="0"/>
                <w:szCs w:val="21"/>
              </w:rPr>
            </w:pPr>
            <w:r>
              <w:rPr>
                <w:rFonts w:hAnsi="宋体"/>
                <w:color w:val="000000"/>
                <w:kern w:val="0"/>
                <w:szCs w:val="21"/>
              </w:rPr>
              <w:t>其它商品</w:t>
            </w:r>
          </w:p>
        </w:tc>
      </w:tr>
      <w:tr>
        <w:tblPrEx>
          <w:tblCellMar>
            <w:top w:w="0" w:type="dxa"/>
            <w:left w:w="108" w:type="dxa"/>
            <w:bottom w:w="0" w:type="dxa"/>
            <w:right w:w="108" w:type="dxa"/>
          </w:tblCellMar>
        </w:tblPrEx>
        <w:trPr>
          <w:trHeight w:val="285" w:hRule="atLeast"/>
        </w:trPr>
        <w:tc>
          <w:tcPr>
            <w:tcW w:w="2355" w:type="dxa"/>
            <w:tcBorders>
              <w:top w:val="nil"/>
              <w:left w:val="single" w:color="auto" w:sz="4" w:space="0"/>
              <w:bottom w:val="single" w:color="auto" w:sz="4" w:space="0"/>
              <w:right w:val="single" w:color="auto" w:sz="4" w:space="0"/>
            </w:tcBorders>
            <w:vAlign w:val="center"/>
          </w:tcPr>
          <w:p>
            <w:pPr>
              <w:widowControl/>
              <w:jc w:val="center"/>
              <w:rPr>
                <w:color w:val="000000"/>
                <w:kern w:val="0"/>
                <w:szCs w:val="21"/>
              </w:rPr>
            </w:pPr>
            <w:r>
              <w:rPr>
                <w:rFonts w:hAnsi="宋体"/>
                <w:color w:val="000000"/>
                <w:kern w:val="0"/>
                <w:szCs w:val="21"/>
              </w:rPr>
              <w:t>不超过</w:t>
            </w:r>
            <w:r>
              <w:rPr>
                <w:color w:val="000000"/>
                <w:kern w:val="0"/>
                <w:szCs w:val="21"/>
              </w:rPr>
              <w:t>1</w:t>
            </w:r>
            <w:r>
              <w:rPr>
                <w:rFonts w:hAnsi="宋体"/>
                <w:color w:val="000000"/>
                <w:kern w:val="0"/>
                <w:szCs w:val="21"/>
              </w:rPr>
              <w:t>年</w:t>
            </w:r>
          </w:p>
        </w:tc>
        <w:tc>
          <w:tcPr>
            <w:tcW w:w="1235"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0</w:t>
            </w:r>
          </w:p>
        </w:tc>
        <w:tc>
          <w:tcPr>
            <w:tcW w:w="1235"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1</w:t>
            </w:r>
          </w:p>
        </w:tc>
        <w:tc>
          <w:tcPr>
            <w:tcW w:w="1235"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6</w:t>
            </w:r>
          </w:p>
        </w:tc>
        <w:tc>
          <w:tcPr>
            <w:tcW w:w="1235"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7</w:t>
            </w:r>
          </w:p>
        </w:tc>
        <w:tc>
          <w:tcPr>
            <w:tcW w:w="1236"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10</w:t>
            </w:r>
          </w:p>
        </w:tc>
      </w:tr>
      <w:tr>
        <w:tblPrEx>
          <w:tblCellMar>
            <w:top w:w="0" w:type="dxa"/>
            <w:left w:w="108" w:type="dxa"/>
            <w:bottom w:w="0" w:type="dxa"/>
            <w:right w:w="108" w:type="dxa"/>
          </w:tblCellMar>
        </w:tblPrEx>
        <w:trPr>
          <w:trHeight w:val="480" w:hRule="atLeast"/>
        </w:trPr>
        <w:tc>
          <w:tcPr>
            <w:tcW w:w="2355" w:type="dxa"/>
            <w:tcBorders>
              <w:top w:val="nil"/>
              <w:left w:val="single" w:color="auto" w:sz="4" w:space="0"/>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1</w:t>
            </w:r>
            <w:r>
              <w:rPr>
                <w:rFonts w:hAnsi="宋体"/>
                <w:color w:val="000000"/>
                <w:kern w:val="0"/>
                <w:szCs w:val="21"/>
                <w:lang w:val="en-GB"/>
              </w:rPr>
              <w:t>年以上，不超过</w:t>
            </w:r>
            <w:r>
              <w:rPr>
                <w:color w:val="000000"/>
                <w:kern w:val="0"/>
                <w:szCs w:val="21"/>
                <w:lang w:val="en-GB"/>
              </w:rPr>
              <w:t>5</w:t>
            </w:r>
            <w:r>
              <w:rPr>
                <w:rFonts w:hAnsi="宋体"/>
                <w:color w:val="000000"/>
                <w:kern w:val="0"/>
                <w:szCs w:val="21"/>
                <w:lang w:val="en-GB"/>
              </w:rPr>
              <w:t>年</w:t>
            </w:r>
          </w:p>
        </w:tc>
        <w:tc>
          <w:tcPr>
            <w:tcW w:w="1235"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0.5</w:t>
            </w:r>
          </w:p>
        </w:tc>
        <w:tc>
          <w:tcPr>
            <w:tcW w:w="1235"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5</w:t>
            </w:r>
          </w:p>
        </w:tc>
        <w:tc>
          <w:tcPr>
            <w:tcW w:w="1235"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8</w:t>
            </w:r>
          </w:p>
        </w:tc>
        <w:tc>
          <w:tcPr>
            <w:tcW w:w="1235"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7</w:t>
            </w:r>
          </w:p>
        </w:tc>
        <w:tc>
          <w:tcPr>
            <w:tcW w:w="1236"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12</w:t>
            </w:r>
          </w:p>
        </w:tc>
      </w:tr>
      <w:tr>
        <w:tblPrEx>
          <w:tblCellMar>
            <w:top w:w="0" w:type="dxa"/>
            <w:left w:w="108" w:type="dxa"/>
            <w:bottom w:w="0" w:type="dxa"/>
            <w:right w:w="108" w:type="dxa"/>
          </w:tblCellMar>
        </w:tblPrEx>
        <w:trPr>
          <w:trHeight w:val="285" w:hRule="atLeast"/>
        </w:trPr>
        <w:tc>
          <w:tcPr>
            <w:tcW w:w="2355" w:type="dxa"/>
            <w:tcBorders>
              <w:top w:val="nil"/>
              <w:left w:val="single" w:color="auto" w:sz="4" w:space="0"/>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5</w:t>
            </w:r>
            <w:r>
              <w:rPr>
                <w:rFonts w:hAnsi="宋体"/>
                <w:color w:val="000000"/>
                <w:kern w:val="0"/>
                <w:szCs w:val="21"/>
                <w:lang w:val="en-GB"/>
              </w:rPr>
              <w:t>年以上</w:t>
            </w:r>
          </w:p>
        </w:tc>
        <w:tc>
          <w:tcPr>
            <w:tcW w:w="1235"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1.5</w:t>
            </w:r>
          </w:p>
        </w:tc>
        <w:tc>
          <w:tcPr>
            <w:tcW w:w="1235"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7.5</w:t>
            </w:r>
          </w:p>
        </w:tc>
        <w:tc>
          <w:tcPr>
            <w:tcW w:w="1235"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10</w:t>
            </w:r>
          </w:p>
        </w:tc>
        <w:tc>
          <w:tcPr>
            <w:tcW w:w="1235"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8</w:t>
            </w:r>
          </w:p>
        </w:tc>
        <w:tc>
          <w:tcPr>
            <w:tcW w:w="1236" w:type="dxa"/>
            <w:tcBorders>
              <w:top w:val="nil"/>
              <w:left w:val="nil"/>
              <w:bottom w:val="single" w:color="auto" w:sz="4" w:space="0"/>
              <w:right w:val="single" w:color="auto" w:sz="4" w:space="0"/>
            </w:tcBorders>
            <w:vAlign w:val="center"/>
          </w:tcPr>
          <w:p>
            <w:pPr>
              <w:widowControl/>
              <w:jc w:val="center"/>
              <w:rPr>
                <w:color w:val="000000"/>
                <w:kern w:val="0"/>
                <w:szCs w:val="21"/>
              </w:rPr>
            </w:pPr>
            <w:r>
              <w:rPr>
                <w:color w:val="000000"/>
                <w:kern w:val="0"/>
                <w:szCs w:val="21"/>
                <w:lang w:val="en-GB"/>
              </w:rPr>
              <w:t>15</w:t>
            </w:r>
          </w:p>
        </w:tc>
      </w:tr>
    </w:tbl>
    <w:p>
      <w:pPr>
        <w:spacing w:line="440" w:lineRule="exact"/>
        <w:ind w:firstLine="420" w:firstLineChars="200"/>
        <w:rPr>
          <w:color w:val="000000"/>
          <w:szCs w:val="21"/>
        </w:rPr>
      </w:pPr>
      <w:r>
        <w:rPr>
          <w:color w:val="000000"/>
          <w:szCs w:val="21"/>
        </w:rPr>
        <w:t>[A]名义本金：是指填报机构持有的金融衍生合约的名义金额或合约账面金额。</w:t>
      </w:r>
    </w:p>
    <w:p>
      <w:pPr>
        <w:spacing w:line="440" w:lineRule="exact"/>
        <w:ind w:firstLine="420" w:firstLineChars="200"/>
        <w:rPr>
          <w:color w:val="000000"/>
          <w:szCs w:val="21"/>
        </w:rPr>
      </w:pPr>
      <w:r>
        <w:rPr>
          <w:color w:val="000000"/>
          <w:szCs w:val="21"/>
        </w:rPr>
        <w:t>[B]附加系数：是指将场外衍生工具的信用转换系数。</w:t>
      </w:r>
    </w:p>
    <w:p>
      <w:pPr>
        <w:spacing w:line="440" w:lineRule="exact"/>
        <w:ind w:firstLine="420" w:firstLineChars="200"/>
        <w:rPr>
          <w:color w:val="000000"/>
          <w:szCs w:val="21"/>
        </w:rPr>
      </w:pPr>
      <w:r>
        <w:rPr>
          <w:color w:val="000000"/>
          <w:szCs w:val="21"/>
        </w:rPr>
        <w:t>[C]盯市成本：是指该笔合约的市场价值</w:t>
      </w:r>
      <w:r>
        <w:rPr>
          <w:rFonts w:hint="eastAsia"/>
          <w:color w:val="000000"/>
          <w:szCs w:val="21"/>
        </w:rPr>
        <w:t>。</w:t>
      </w:r>
      <w:r>
        <w:rPr>
          <w:color w:val="000000"/>
          <w:szCs w:val="21"/>
        </w:rPr>
        <w:t>如无市场价值，填报机构应采取合理的手段和方法，估计该笔合约的市场价值。</w:t>
      </w:r>
      <w:r>
        <w:rPr>
          <w:rFonts w:hint="eastAsia"/>
          <w:color w:val="000000"/>
          <w:szCs w:val="21"/>
        </w:rPr>
        <w:t>如盯市成本为负值，本项目以0填报。</w:t>
      </w:r>
    </w:p>
    <w:p>
      <w:pPr>
        <w:spacing w:line="440" w:lineRule="exact"/>
        <w:ind w:firstLine="420" w:firstLineChars="200"/>
        <w:rPr>
          <w:color w:val="000000"/>
          <w:szCs w:val="21"/>
        </w:rPr>
      </w:pPr>
      <w:r>
        <w:rPr>
          <w:color w:val="000000"/>
          <w:szCs w:val="21"/>
        </w:rPr>
        <w:t>[D]风险暴露：=[A]名义本金×[B]附加系数+[C]盯市成本</w:t>
      </w:r>
      <w:r>
        <w:rPr>
          <w:rFonts w:hint="eastAsia"/>
          <w:color w:val="000000"/>
          <w:szCs w:val="21"/>
        </w:rPr>
        <w:t>。</w:t>
      </w:r>
    </w:p>
    <w:p>
      <w:pPr>
        <w:pStyle w:val="7"/>
        <w:ind w:firstLine="420"/>
        <w:rPr>
          <w:rFonts w:eastAsia="宋体"/>
          <w:kern w:val="2"/>
          <w:sz w:val="21"/>
          <w:szCs w:val="21"/>
        </w:rPr>
      </w:pPr>
      <w:r>
        <w:rPr>
          <w:rFonts w:eastAsia="宋体"/>
          <w:kern w:val="2"/>
          <w:sz w:val="21"/>
          <w:szCs w:val="21"/>
        </w:rPr>
        <w:t>[</w:t>
      </w:r>
      <w:r>
        <w:rPr>
          <w:rFonts w:hint="eastAsia" w:eastAsia="宋体"/>
          <w:kern w:val="2"/>
          <w:sz w:val="21"/>
          <w:szCs w:val="21"/>
        </w:rPr>
        <w:t>E]</w:t>
      </w:r>
      <w:r>
        <w:rPr>
          <w:rFonts w:eastAsia="宋体"/>
          <w:kern w:val="2"/>
          <w:sz w:val="21"/>
          <w:szCs w:val="21"/>
        </w:rPr>
        <w:t>风险加权资产：是指填报机构</w:t>
      </w:r>
      <w:r>
        <w:rPr>
          <w:rFonts w:hint="eastAsia" w:eastAsia="宋体"/>
          <w:kern w:val="2"/>
          <w:sz w:val="21"/>
          <w:szCs w:val="21"/>
        </w:rPr>
        <w:t>根据附件</w:t>
      </w:r>
      <w:r>
        <w:rPr>
          <w:rFonts w:eastAsia="宋体"/>
          <w:kern w:val="2"/>
          <w:sz w:val="21"/>
          <w:szCs w:val="21"/>
        </w:rPr>
        <w:t>6</w:t>
      </w:r>
      <w:r>
        <w:rPr>
          <w:rFonts w:hint="eastAsia" w:eastAsia="宋体"/>
          <w:kern w:val="2"/>
          <w:sz w:val="21"/>
          <w:szCs w:val="21"/>
        </w:rPr>
        <w:t>关于内部评级法相关规则计量的交易对手违约风险加权资产</w:t>
      </w:r>
      <w:r>
        <w:rPr>
          <w:rFonts w:eastAsia="宋体"/>
          <w:kern w:val="2"/>
          <w:sz w:val="21"/>
          <w:szCs w:val="21"/>
        </w:rPr>
        <w:t>。</w:t>
      </w:r>
      <w:r>
        <w:rPr>
          <w:rFonts w:hint="eastAsia" w:eastAsia="宋体"/>
          <w:kern w:val="2"/>
          <w:sz w:val="21"/>
          <w:szCs w:val="21"/>
        </w:rPr>
        <w:t>P</w:t>
      </w:r>
      <w:r>
        <w:rPr>
          <w:rFonts w:eastAsia="宋体"/>
          <w:kern w:val="2"/>
          <w:sz w:val="21"/>
          <w:szCs w:val="21"/>
        </w:rPr>
        <w:t>D</w:t>
      </w:r>
      <w:r>
        <w:rPr>
          <w:rFonts w:hint="eastAsia" w:eastAsia="宋体"/>
          <w:kern w:val="2"/>
          <w:sz w:val="21"/>
          <w:szCs w:val="21"/>
        </w:rPr>
        <w:t>和L</w:t>
      </w:r>
      <w:r>
        <w:rPr>
          <w:rFonts w:eastAsia="宋体"/>
          <w:kern w:val="2"/>
          <w:sz w:val="21"/>
          <w:szCs w:val="21"/>
        </w:rPr>
        <w:t>GD</w:t>
      </w:r>
      <w:r>
        <w:rPr>
          <w:rFonts w:hint="eastAsia" w:eastAsia="宋体"/>
          <w:kern w:val="2"/>
          <w:sz w:val="21"/>
          <w:szCs w:val="21"/>
        </w:rPr>
        <w:t>不考虑信用风险缓释。</w:t>
      </w:r>
    </w:p>
    <w:p>
      <w:pPr>
        <w:spacing w:line="440" w:lineRule="exact"/>
        <w:ind w:firstLine="421" w:firstLineChars="200"/>
        <w:rPr>
          <w:b/>
          <w:color w:val="000000"/>
          <w:szCs w:val="21"/>
        </w:rPr>
      </w:pPr>
      <w:r>
        <w:rPr>
          <w:rFonts w:hint="eastAsia"/>
          <w:b/>
          <w:color w:val="000000"/>
          <w:szCs w:val="21"/>
        </w:rPr>
        <w:t>第II部分：净额结算的违约风险暴露计算表（IRB法）</w:t>
      </w:r>
    </w:p>
    <w:p>
      <w:pPr>
        <w:spacing w:line="480" w:lineRule="exact"/>
        <w:ind w:firstLine="420" w:firstLineChars="200"/>
        <w:rPr>
          <w:rFonts w:ascii="宋体" w:hAnsi="宋体"/>
          <w:color w:val="000000"/>
          <w:szCs w:val="21"/>
        </w:rPr>
      </w:pPr>
      <w:r>
        <w:rPr>
          <w:rFonts w:hint="eastAsia" w:ascii="宋体" w:hAnsi="宋体"/>
          <w:color w:val="000000"/>
          <w:szCs w:val="21"/>
        </w:rPr>
        <w:t>对于存在净额结算的场外衍生产品交易，采用内部评级法的填报机构可根据《办法》附件</w:t>
      </w:r>
      <w:r>
        <w:rPr>
          <w:rFonts w:ascii="宋体" w:hAnsi="宋体"/>
          <w:color w:val="000000"/>
          <w:szCs w:val="21"/>
        </w:rPr>
        <w:t>9</w:t>
      </w:r>
      <w:r>
        <w:rPr>
          <w:rFonts w:hint="eastAsia" w:ascii="宋体" w:hAnsi="宋体"/>
          <w:color w:val="000000"/>
          <w:szCs w:val="21"/>
        </w:rPr>
        <w:t>对合格净额结算的规定计算衍生工具交易的净额违约风险暴露。交易对手的净额违约风险暴露应为当前暴露净额与潜在暴露净额之和：</w:t>
      </w:r>
    </w:p>
    <w:p>
      <w:pPr>
        <w:spacing w:line="480" w:lineRule="exact"/>
        <w:ind w:firstLine="420" w:firstLineChars="200"/>
        <w:rPr>
          <w:rFonts w:ascii="宋体" w:hAnsi="宋体"/>
          <w:color w:val="000000"/>
          <w:szCs w:val="21"/>
        </w:rPr>
      </w:pPr>
      <w:r>
        <w:rPr>
          <w:rFonts w:hint="eastAsia" w:ascii="宋体" w:hAnsi="宋体"/>
          <w:color w:val="000000"/>
          <w:szCs w:val="21"/>
        </w:rPr>
        <w:t>1．当前暴露净额为净盯市重置成本与0之间的较大值。</w:t>
      </w:r>
    </w:p>
    <w:p>
      <w:pPr>
        <w:spacing w:line="480" w:lineRule="exact"/>
        <w:ind w:firstLine="420" w:firstLineChars="200"/>
        <w:rPr>
          <w:rFonts w:ascii="宋体" w:hAnsi="宋体"/>
          <w:color w:val="000000"/>
          <w:szCs w:val="21"/>
        </w:rPr>
      </w:pPr>
      <w:r>
        <w:rPr>
          <w:rFonts w:hint="eastAsia" w:ascii="宋体" w:hAnsi="宋体"/>
          <w:color w:val="000000"/>
          <w:szCs w:val="21"/>
        </w:rPr>
        <w:t>2．潜在暴露净额</w:t>
      </w:r>
      <w:r>
        <w:rPr>
          <w:rFonts w:hint="eastAsia" w:ascii="宋体" w:hAnsi="宋体"/>
          <w:color w:val="000000"/>
          <w:position w:val="-12"/>
          <w:szCs w:val="21"/>
        </w:rPr>
        <w:object>
          <v:shape id="_x0000_i1025" o:spt="75" type="#_x0000_t75" style="height:19.8pt;width:19.8pt;" o:ole="t" filled="f" o:preferrelative="t" stroked="f" coordsize="21600,21600">
            <v:path/>
            <v:fill on="f" focussize="0,0"/>
            <v:stroke on="f" joinstyle="miter"/>
            <v:imagedata r:id="rId6" o:title=""/>
            <o:lock v:ext="edit" aspectratio="t"/>
            <w10:wrap type="none"/>
            <w10:anchorlock/>
          </v:shape>
          <o:OLEObject Type="Embed" ProgID="Equation.3" ShapeID="_x0000_i1025" DrawAspect="Content" ObjectID="_1468075725" r:id="rId5">
            <o:LockedField>false</o:LockedField>
          </o:OLEObject>
        </w:object>
      </w:r>
      <w:r>
        <w:rPr>
          <w:rFonts w:hint="eastAsia" w:ascii="宋体" w:hAnsi="宋体"/>
          <w:color w:val="000000"/>
          <w:szCs w:val="21"/>
        </w:rPr>
        <w:t>，由下式计算：</w:t>
      </w:r>
    </w:p>
    <w:p>
      <w:pPr>
        <w:spacing w:line="480" w:lineRule="exact"/>
        <w:ind w:firstLine="420" w:firstLineChars="200"/>
        <w:rPr>
          <w:rFonts w:ascii="宋体" w:hAnsi="宋体"/>
          <w:color w:val="000000"/>
          <w:szCs w:val="21"/>
        </w:rPr>
      </w:pPr>
      <w:r>
        <w:drawing>
          <wp:anchor distT="0" distB="0" distL="114300" distR="114300" simplePos="0" relativeHeight="251659264" behindDoc="0" locked="0" layoutInCell="1" allowOverlap="1">
            <wp:simplePos x="0" y="0"/>
            <wp:positionH relativeFrom="column">
              <wp:posOffset>240665</wp:posOffset>
            </wp:positionH>
            <wp:positionV relativeFrom="paragraph">
              <wp:posOffset>169545</wp:posOffset>
            </wp:positionV>
            <wp:extent cx="2447925" cy="428625"/>
            <wp:effectExtent l="0" t="0" r="9525" b="9525"/>
            <wp:wrapTopAndBottom/>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pic:cNvPicPr>
                  </pic:nvPicPr>
                  <pic:blipFill>
                    <a:blip r:embed="rId7"/>
                    <a:stretch>
                      <a:fillRect/>
                    </a:stretch>
                  </pic:blipFill>
                  <pic:spPr>
                    <a:xfrm>
                      <a:off x="0" y="0"/>
                      <a:ext cx="2447925" cy="428625"/>
                    </a:xfrm>
                    <a:prstGeom prst="rect">
                      <a:avLst/>
                    </a:prstGeom>
                    <a:noFill/>
                    <a:ln>
                      <a:noFill/>
                    </a:ln>
                  </pic:spPr>
                </pic:pic>
              </a:graphicData>
            </a:graphic>
          </wp:anchor>
        </w:drawing>
      </w:r>
      <w:r>
        <w:rPr>
          <w:rFonts w:hint="eastAsia" w:ascii="宋体" w:hAnsi="宋体"/>
          <w:color w:val="000000"/>
          <w:szCs w:val="21"/>
        </w:rPr>
        <w:t>其中：</w:t>
      </w:r>
    </w:p>
    <w:p>
      <w:pPr>
        <w:spacing w:line="480" w:lineRule="exact"/>
        <w:ind w:firstLine="420" w:firstLineChars="200"/>
        <w:rPr>
          <w:rFonts w:ascii="宋体" w:hAnsi="宋体"/>
          <w:color w:val="000000"/>
          <w:szCs w:val="21"/>
        </w:rPr>
      </w:pPr>
      <w:r>
        <w:rPr>
          <w:rFonts w:hint="eastAsia" w:ascii="宋体" w:hAnsi="宋体"/>
          <w:color w:val="000000"/>
          <w:szCs w:val="21"/>
        </w:rPr>
        <w:object>
          <v:shape id="_x0000_i1026" o:spt="75" type="#_x0000_t75" style="height:19.8pt;width:31.2pt;" o:ole="t" filled="f" o:preferrelative="t" stroked="f" coordsize="21600,21600">
            <v:path/>
            <v:fill on="f" focussize="0,0"/>
            <v:stroke on="f" joinstyle="miter"/>
            <v:imagedata r:id="rId9" o:title=""/>
            <o:lock v:ext="edit" aspectratio="t"/>
            <w10:wrap type="none"/>
            <w10:anchorlock/>
          </v:shape>
          <o:OLEObject Type="Embed" ProgID="Equation.3" ShapeID="_x0000_i1026" DrawAspect="Content" ObjectID="_1468075726" r:id="rId8">
            <o:LockedField>false</o:LockedField>
          </o:OLEObject>
        </w:object>
      </w:r>
      <w:r>
        <w:rPr>
          <w:rFonts w:hint="eastAsia" w:ascii="宋体" w:hAnsi="宋体"/>
          <w:color w:val="000000"/>
          <w:szCs w:val="21"/>
        </w:rPr>
        <w:t>为净额结算协议下对同一交易对手的所有合约的潜在暴露之和，等于每笔交易合约本金乘以相应的附加系数的总和，附加系数与本填报说明第I部分的附加系数一致；</w:t>
      </w:r>
    </w:p>
    <w:p>
      <w:pPr>
        <w:spacing w:line="480" w:lineRule="exact"/>
        <w:ind w:firstLine="420" w:firstLineChars="200"/>
        <w:rPr>
          <w:rFonts w:ascii="宋体" w:hAnsi="宋体"/>
          <w:color w:val="000000"/>
          <w:szCs w:val="21"/>
        </w:rPr>
      </w:pPr>
      <w:r>
        <w:rPr>
          <w:rFonts w:hint="eastAsia" w:ascii="宋体" w:hAnsi="宋体"/>
          <w:color w:val="000000"/>
          <w:position w:val="-6"/>
          <w:szCs w:val="21"/>
        </w:rPr>
        <w:object>
          <v:shape id="_x0000_i1027" o:spt="75" type="#_x0000_t75" style="height:12.6pt;width:26.4pt;" o:ole="t" filled="f" o:preferrelative="t" stroked="f" coordsize="21600,21600">
            <v:path/>
            <v:fill on="f" focussize="0,0"/>
            <v:stroke on="f" joinstyle="miter"/>
            <v:imagedata r:id="rId11" o:title=""/>
            <o:lock v:ext="edit" aspectratio="t"/>
            <w10:wrap type="none"/>
            <w10:anchorlock/>
          </v:shape>
          <o:OLEObject Type="Embed" ProgID="Equation.3" ShapeID="_x0000_i1027" DrawAspect="Content" ObjectID="_1468075727" r:id="rId10">
            <o:LockedField>false</o:LockedField>
          </o:OLEObject>
        </w:object>
      </w:r>
      <w:r>
        <w:rPr>
          <w:rFonts w:hint="eastAsia" w:ascii="宋体" w:hAnsi="宋体"/>
          <w:color w:val="000000"/>
          <w:szCs w:val="21"/>
        </w:rPr>
        <w:t>为净额结算协议重置成本净额与重置成本总额的比率。</w:t>
      </w:r>
      <w:r>
        <w:rPr>
          <w:rFonts w:hint="eastAsia" w:ascii="宋体" w:hAnsi="宋体"/>
          <w:szCs w:val="21"/>
        </w:rPr>
        <w:t>经国家金融监督管理总局或其派出机构认可，</w:t>
      </w:r>
      <w:r>
        <w:rPr>
          <w:rFonts w:hint="eastAsia" w:ascii="宋体" w:hAnsi="宋体"/>
          <w:position w:val="-6"/>
          <w:szCs w:val="21"/>
        </w:rPr>
        <w:object>
          <v:shape id="_x0000_i1028" o:spt="75" type="#_x0000_t75" style="height:14.4pt;width:28.2pt;" o:ole="t" filled="f" o:preferrelative="t" stroked="f" coordsize="21600,21600">
            <v:path/>
            <v:fill on="f" focussize="0,0"/>
            <v:stroke on="f" joinstyle="miter"/>
            <v:imagedata r:id="rId11" o:title=""/>
            <o:lock v:ext="edit" aspectratio="t"/>
            <w10:wrap type="none"/>
            <w10:anchorlock/>
          </v:shape>
          <o:OLEObject Type="Embed" ProgID="Equation.3" ShapeID="_x0000_i1028" DrawAspect="Content" ObjectID="_1468075728" r:id="rId12">
            <o:LockedField>false</o:LockedField>
          </o:OLEObject>
        </w:object>
      </w:r>
      <w:bookmarkStart w:id="5" w:name="_Hlk152153859"/>
      <w:r>
        <w:rPr>
          <w:rFonts w:hint="eastAsia" w:ascii="宋体" w:hAnsi="宋体"/>
          <w:szCs w:val="21"/>
        </w:rPr>
        <w:t>可基于单个交易对手计算。</w:t>
      </w:r>
      <w:bookmarkEnd w:id="5"/>
      <w:r>
        <w:rPr>
          <w:rFonts w:hint="eastAsia" w:ascii="宋体" w:hAnsi="宋体"/>
          <w:color w:val="000000"/>
          <w:szCs w:val="21"/>
        </w:rPr>
        <w:t>未经国家金融监督管理总局认可，商业银行不得变更计算方法。</w:t>
      </w:r>
    </w:p>
    <w:p>
      <w:pPr>
        <w:spacing w:line="440" w:lineRule="exact"/>
        <w:ind w:firstLine="420" w:firstLineChars="200"/>
        <w:rPr>
          <w:color w:val="000000"/>
          <w:szCs w:val="21"/>
        </w:rPr>
      </w:pPr>
      <w:r>
        <w:rPr>
          <w:color w:val="000000"/>
          <w:szCs w:val="21"/>
        </w:rPr>
        <w:t>[A]名义本金：是指填报机构持有的</w:t>
      </w:r>
      <w:r>
        <w:rPr>
          <w:rFonts w:hint="eastAsia"/>
          <w:color w:val="000000"/>
          <w:szCs w:val="21"/>
        </w:rPr>
        <w:t>可以净额结算的</w:t>
      </w:r>
      <w:r>
        <w:rPr>
          <w:color w:val="000000"/>
          <w:szCs w:val="21"/>
        </w:rPr>
        <w:t>金融衍生合约的名义金额或合约账面金额。</w:t>
      </w:r>
    </w:p>
    <w:p>
      <w:pPr>
        <w:spacing w:line="440" w:lineRule="exact"/>
        <w:ind w:firstLine="420" w:firstLineChars="200"/>
        <w:rPr>
          <w:color w:val="000000"/>
          <w:szCs w:val="21"/>
        </w:rPr>
      </w:pPr>
      <w:r>
        <w:rPr>
          <w:color w:val="000000"/>
          <w:szCs w:val="21"/>
        </w:rPr>
        <w:t>[</w:t>
      </w:r>
      <w:r>
        <w:rPr>
          <w:rFonts w:hint="eastAsia"/>
          <w:color w:val="000000"/>
          <w:szCs w:val="21"/>
        </w:rPr>
        <w:t>B</w:t>
      </w:r>
      <w:r>
        <w:rPr>
          <w:color w:val="000000"/>
          <w:szCs w:val="21"/>
        </w:rPr>
        <w:t>]</w:t>
      </w:r>
      <w:r>
        <w:rPr>
          <w:rFonts w:hint="eastAsia"/>
          <w:color w:val="000000"/>
          <w:szCs w:val="21"/>
        </w:rPr>
        <w:t>潜在暴露之和（</w:t>
      </w:r>
      <w:r>
        <w:rPr>
          <w:rFonts w:hint="eastAsia" w:ascii="宋体" w:hAnsi="宋体"/>
          <w:color w:val="000000"/>
          <w:szCs w:val="21"/>
        </w:rPr>
        <w:object>
          <v:shape id="_x0000_i1029" o:spt="75" type="#_x0000_t75" style="height:19.8pt;width:26.4pt;" o:ole="t" filled="f" o:preferrelative="t" stroked="f" coordsize="21600,21600">
            <v:path/>
            <v:fill on="f" focussize="0,0"/>
            <v:stroke on="f" joinstyle="miter"/>
            <v:imagedata r:id="rId9" o:title=""/>
            <o:lock v:ext="edit" aspectratio="t"/>
            <w10:wrap type="none"/>
            <w10:anchorlock/>
          </v:shape>
          <o:OLEObject Type="Embed" ProgID="Equation.3" ShapeID="_x0000_i1029" DrawAspect="Content" ObjectID="_1468075729" r:id="rId13">
            <o:LockedField>false</o:LockedField>
          </o:OLEObject>
        </w:object>
      </w:r>
      <w:r>
        <w:rPr>
          <w:rFonts w:hint="eastAsia"/>
          <w:color w:val="000000"/>
          <w:szCs w:val="21"/>
        </w:rPr>
        <w:t>）</w:t>
      </w:r>
      <w:r>
        <w:rPr>
          <w:color w:val="000000"/>
          <w:szCs w:val="21"/>
        </w:rPr>
        <w:t>：是指填报机构持有的</w:t>
      </w:r>
      <w:r>
        <w:rPr>
          <w:rFonts w:hint="eastAsia"/>
          <w:color w:val="000000"/>
          <w:szCs w:val="21"/>
        </w:rPr>
        <w:t>符合净额结算的</w:t>
      </w:r>
      <w:r>
        <w:rPr>
          <w:color w:val="000000"/>
          <w:szCs w:val="21"/>
        </w:rPr>
        <w:t>金融衍生合约的名义</w:t>
      </w:r>
      <w:r>
        <w:rPr>
          <w:rFonts w:hint="eastAsia"/>
          <w:color w:val="000000"/>
          <w:szCs w:val="21"/>
        </w:rPr>
        <w:t>本金</w:t>
      </w:r>
      <w:r>
        <w:rPr>
          <w:rFonts w:hint="eastAsia" w:ascii="宋体" w:hAnsi="宋体"/>
          <w:color w:val="000000"/>
          <w:szCs w:val="21"/>
        </w:rPr>
        <w:t>乘以相应的附加系数的总和</w:t>
      </w:r>
      <w:r>
        <w:rPr>
          <w:color w:val="000000"/>
          <w:szCs w:val="21"/>
        </w:rPr>
        <w:t>。</w:t>
      </w:r>
    </w:p>
    <w:p>
      <w:pPr>
        <w:spacing w:line="440" w:lineRule="exact"/>
        <w:ind w:firstLine="420" w:firstLineChars="200"/>
        <w:rPr>
          <w:color w:val="000000"/>
          <w:szCs w:val="21"/>
        </w:rPr>
      </w:pPr>
      <w:r>
        <w:rPr>
          <w:color w:val="000000"/>
          <w:szCs w:val="21"/>
        </w:rPr>
        <w:t>[</w:t>
      </w:r>
      <w:r>
        <w:rPr>
          <w:rFonts w:hint="eastAsia"/>
          <w:color w:val="000000"/>
          <w:szCs w:val="21"/>
        </w:rPr>
        <w:t>C</w:t>
      </w:r>
      <w:r>
        <w:rPr>
          <w:color w:val="000000"/>
          <w:szCs w:val="21"/>
        </w:rPr>
        <w:t>]</w:t>
      </w:r>
      <w:r>
        <w:rPr>
          <w:rFonts w:hint="eastAsia"/>
          <w:color w:val="000000"/>
          <w:szCs w:val="21"/>
        </w:rPr>
        <w:t>重置成本比率（</w:t>
      </w:r>
      <w:r>
        <w:rPr>
          <w:i/>
          <w:color w:val="000000"/>
          <w:szCs w:val="21"/>
        </w:rPr>
        <w:t>NGR</w:t>
      </w:r>
      <w:r>
        <w:rPr>
          <w:rFonts w:hint="eastAsia"/>
          <w:color w:val="000000"/>
          <w:szCs w:val="21"/>
        </w:rPr>
        <w:t>）</w:t>
      </w:r>
      <w:r>
        <w:rPr>
          <w:color w:val="000000"/>
          <w:szCs w:val="21"/>
        </w:rPr>
        <w:t>：</w:t>
      </w:r>
      <w:r>
        <w:rPr>
          <w:rFonts w:hint="eastAsia" w:ascii="宋体" w:hAnsi="宋体"/>
          <w:color w:val="000000"/>
          <w:szCs w:val="21"/>
        </w:rPr>
        <w:t>为净额结算协议重置成本净额与重置成本总额的比率</w:t>
      </w:r>
      <w:r>
        <w:rPr>
          <w:color w:val="000000"/>
          <w:szCs w:val="21"/>
        </w:rPr>
        <w:t>。</w:t>
      </w:r>
    </w:p>
    <w:p>
      <w:pPr>
        <w:spacing w:line="440" w:lineRule="exact"/>
        <w:ind w:firstLine="420" w:firstLineChars="200"/>
        <w:rPr>
          <w:color w:val="000000"/>
          <w:szCs w:val="21"/>
        </w:rPr>
      </w:pPr>
      <w:r>
        <w:rPr>
          <w:color w:val="000000"/>
          <w:szCs w:val="21"/>
        </w:rPr>
        <w:t>[</w:t>
      </w:r>
      <w:r>
        <w:rPr>
          <w:rFonts w:hint="eastAsia"/>
          <w:color w:val="000000"/>
          <w:szCs w:val="21"/>
        </w:rPr>
        <w:t>D</w:t>
      </w:r>
      <w:r>
        <w:rPr>
          <w:color w:val="000000"/>
          <w:szCs w:val="21"/>
        </w:rPr>
        <w:t>]</w:t>
      </w:r>
      <w:r>
        <w:rPr>
          <w:rFonts w:hint="eastAsia"/>
          <w:color w:val="000000"/>
          <w:szCs w:val="21"/>
        </w:rPr>
        <w:t>潜在暴露净额（</w:t>
      </w:r>
      <w:r>
        <w:rPr>
          <w:rFonts w:hint="eastAsia" w:ascii="宋体" w:hAnsi="宋体"/>
          <w:color w:val="000000"/>
          <w:position w:val="-12"/>
          <w:szCs w:val="21"/>
        </w:rPr>
        <w:object>
          <v:shape id="_x0000_i1030" o:spt="75" type="#_x0000_t75" style="height:19.8pt;width:19.8pt;" o:ole="t" filled="f" o:preferrelative="t" stroked="f" coordsize="21600,21600">
            <v:path/>
            <v:fill on="f" focussize="0,0"/>
            <v:stroke on="f" joinstyle="miter"/>
            <v:imagedata r:id="rId6" o:title=""/>
            <o:lock v:ext="edit" aspectratio="t"/>
            <w10:wrap type="none"/>
            <w10:anchorlock/>
          </v:shape>
          <o:OLEObject Type="Embed" ProgID="Equation.3" ShapeID="_x0000_i1030" DrawAspect="Content" ObjectID="_1468075730" r:id="rId14">
            <o:LockedField>false</o:LockedField>
          </o:OLEObject>
        </w:object>
      </w:r>
      <w:r>
        <w:rPr>
          <w:rFonts w:hint="eastAsia"/>
          <w:color w:val="000000"/>
          <w:szCs w:val="21"/>
        </w:rPr>
        <w:t>）</w:t>
      </w:r>
      <w:r>
        <w:rPr>
          <w:color w:val="000000"/>
          <w:szCs w:val="21"/>
        </w:rPr>
        <w:t>：是指填报机构</w:t>
      </w:r>
      <w:r>
        <w:rPr>
          <w:rFonts w:hint="eastAsia"/>
          <w:color w:val="000000"/>
          <w:szCs w:val="21"/>
        </w:rPr>
        <w:t>未来可能出现的违约暴露净额，具体计算方法为：</w:t>
      </w:r>
    </w:p>
    <w:p>
      <w:pPr>
        <w:spacing w:line="440" w:lineRule="exact"/>
        <w:ind w:firstLine="420" w:firstLineChars="200"/>
        <w:rPr>
          <w:color w:val="000000"/>
          <w:szCs w:val="21"/>
        </w:rPr>
      </w:pPr>
      <w:r>
        <w:drawing>
          <wp:inline distT="0" distB="0" distL="0" distR="0">
            <wp:extent cx="5270500" cy="219710"/>
            <wp:effectExtent l="0" t="0" r="635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70500" cy="219710"/>
                    </a:xfrm>
                    <a:prstGeom prst="rect">
                      <a:avLst/>
                    </a:prstGeom>
                  </pic:spPr>
                </pic:pic>
              </a:graphicData>
            </a:graphic>
          </wp:inline>
        </w:drawing>
      </w:r>
    </w:p>
    <w:p>
      <w:pPr>
        <w:spacing w:line="440" w:lineRule="exact"/>
        <w:ind w:left="420" w:leftChars="200"/>
        <w:rPr>
          <w:color w:val="000000"/>
          <w:szCs w:val="21"/>
        </w:rPr>
      </w:pPr>
      <w:r>
        <w:rPr>
          <w:color w:val="000000"/>
          <w:szCs w:val="21"/>
        </w:rPr>
        <w:t>[</w:t>
      </w:r>
      <w:r>
        <w:rPr>
          <w:rFonts w:hint="eastAsia"/>
          <w:color w:val="000000"/>
          <w:szCs w:val="21"/>
        </w:rPr>
        <w:t>E</w:t>
      </w:r>
      <w:r>
        <w:rPr>
          <w:color w:val="000000"/>
          <w:szCs w:val="21"/>
        </w:rPr>
        <w:t>]</w:t>
      </w:r>
      <w:r>
        <w:rPr>
          <w:rFonts w:hint="eastAsia"/>
          <w:color w:val="000000"/>
          <w:szCs w:val="21"/>
        </w:rPr>
        <w:t>当前暴露净额</w:t>
      </w:r>
      <w:r>
        <w:rPr>
          <w:color w:val="000000"/>
          <w:szCs w:val="21"/>
        </w:rPr>
        <w:t>：是指填报机构持有的</w:t>
      </w:r>
      <w:r>
        <w:rPr>
          <w:rFonts w:hint="eastAsia"/>
          <w:color w:val="000000"/>
          <w:szCs w:val="21"/>
        </w:rPr>
        <w:t>符合净额结算的</w:t>
      </w:r>
      <w:r>
        <w:rPr>
          <w:color w:val="000000"/>
          <w:szCs w:val="21"/>
        </w:rPr>
        <w:t>金融衍生合约的</w:t>
      </w:r>
      <w:r>
        <w:rPr>
          <w:rFonts w:hint="eastAsia"/>
          <w:color w:val="000000"/>
          <w:szCs w:val="21"/>
        </w:rPr>
        <w:t>净盯市重置成本与</w:t>
      </w:r>
      <w:r>
        <w:rPr>
          <w:rFonts w:hint="eastAsia" w:ascii="宋体" w:hAnsi="宋体"/>
          <w:color w:val="000000"/>
          <w:szCs w:val="21"/>
        </w:rPr>
        <w:t>0之间的较大值。</w:t>
      </w:r>
    </w:p>
    <w:p>
      <w:pPr>
        <w:spacing w:line="440" w:lineRule="exact"/>
        <w:ind w:firstLine="420" w:firstLineChars="200"/>
        <w:rPr>
          <w:color w:val="000000"/>
          <w:szCs w:val="21"/>
        </w:rPr>
      </w:pPr>
      <w:r>
        <w:rPr>
          <w:color w:val="000000"/>
          <w:szCs w:val="21"/>
        </w:rPr>
        <w:t>[</w:t>
      </w:r>
      <w:r>
        <w:rPr>
          <w:rFonts w:hint="eastAsia"/>
          <w:color w:val="000000"/>
          <w:szCs w:val="21"/>
        </w:rPr>
        <w:t>F</w:t>
      </w:r>
      <w:r>
        <w:rPr>
          <w:color w:val="000000"/>
          <w:szCs w:val="21"/>
        </w:rPr>
        <w:t>]风险暴露：=[</w:t>
      </w:r>
      <w:r>
        <w:rPr>
          <w:rFonts w:hint="eastAsia"/>
          <w:color w:val="000000"/>
          <w:szCs w:val="21"/>
        </w:rPr>
        <w:t>D</w:t>
      </w:r>
      <w:r>
        <w:rPr>
          <w:color w:val="000000"/>
          <w:szCs w:val="21"/>
        </w:rPr>
        <w:t>]</w:t>
      </w:r>
      <w:r>
        <w:rPr>
          <w:rFonts w:hint="eastAsia"/>
          <w:color w:val="000000"/>
          <w:szCs w:val="21"/>
        </w:rPr>
        <w:t xml:space="preserve"> 潜在暴露净额（</w:t>
      </w:r>
      <w:r>
        <w:rPr>
          <w:rFonts w:hint="eastAsia" w:ascii="宋体" w:hAnsi="宋体"/>
          <w:color w:val="000000"/>
          <w:position w:val="-12"/>
          <w:szCs w:val="21"/>
        </w:rPr>
        <w:object>
          <v:shape id="_x0000_i1031" o:spt="75" type="#_x0000_t75" style="height:19.8pt;width:19.8pt;" o:ole="t" filled="f" o:preferrelative="t" stroked="f" coordsize="21600,21600">
            <v:path/>
            <v:fill on="f" focussize="0,0"/>
            <v:stroke on="f" joinstyle="miter"/>
            <v:imagedata r:id="rId6" o:title=""/>
            <o:lock v:ext="edit" aspectratio="t"/>
            <w10:wrap type="none"/>
            <w10:anchorlock/>
          </v:shape>
          <o:OLEObject Type="Embed" ProgID="Equation.3" ShapeID="_x0000_i1031" DrawAspect="Content" ObjectID="_1468075731" r:id="rId16">
            <o:LockedField>false</o:LockedField>
          </o:OLEObject>
        </w:object>
      </w:r>
      <w:r>
        <w:rPr>
          <w:rFonts w:hint="eastAsia"/>
          <w:color w:val="000000"/>
          <w:szCs w:val="21"/>
        </w:rPr>
        <w:t>）+</w:t>
      </w:r>
      <w:r>
        <w:rPr>
          <w:color w:val="000000"/>
          <w:szCs w:val="21"/>
        </w:rPr>
        <w:t>[</w:t>
      </w:r>
      <w:r>
        <w:rPr>
          <w:rFonts w:hint="eastAsia"/>
          <w:color w:val="000000"/>
          <w:szCs w:val="21"/>
        </w:rPr>
        <w:t>E</w:t>
      </w:r>
      <w:r>
        <w:rPr>
          <w:color w:val="000000"/>
          <w:szCs w:val="21"/>
        </w:rPr>
        <w:t>]</w:t>
      </w:r>
      <w:r>
        <w:rPr>
          <w:rFonts w:hint="eastAsia"/>
          <w:color w:val="000000"/>
          <w:szCs w:val="21"/>
        </w:rPr>
        <w:t>当前暴露净额。</w:t>
      </w:r>
    </w:p>
    <w:p>
      <w:pPr>
        <w:pStyle w:val="7"/>
        <w:ind w:firstLine="420"/>
        <w:rPr>
          <w:rFonts w:eastAsia="宋体"/>
          <w:kern w:val="2"/>
          <w:sz w:val="21"/>
          <w:szCs w:val="21"/>
        </w:rPr>
      </w:pPr>
      <w:r>
        <w:rPr>
          <w:rFonts w:eastAsia="宋体"/>
          <w:kern w:val="2"/>
          <w:sz w:val="21"/>
          <w:szCs w:val="21"/>
        </w:rPr>
        <w:t>[</w:t>
      </w:r>
      <w:r>
        <w:rPr>
          <w:rFonts w:hint="eastAsia" w:eastAsia="宋体"/>
          <w:kern w:val="2"/>
          <w:sz w:val="21"/>
          <w:szCs w:val="21"/>
        </w:rPr>
        <w:t>G</w:t>
      </w:r>
      <w:r>
        <w:rPr>
          <w:rFonts w:eastAsia="宋体"/>
          <w:kern w:val="2"/>
          <w:sz w:val="21"/>
          <w:szCs w:val="21"/>
        </w:rPr>
        <w:t>]风险加权资产：是指填报机构</w:t>
      </w:r>
      <w:r>
        <w:rPr>
          <w:rFonts w:hint="eastAsia" w:eastAsia="宋体"/>
          <w:kern w:val="2"/>
          <w:sz w:val="21"/>
          <w:szCs w:val="21"/>
        </w:rPr>
        <w:t>根据附件6关于内部评级法相关规则计量的交易对手违约风险加权资产</w:t>
      </w:r>
      <w:r>
        <w:rPr>
          <w:rFonts w:eastAsia="宋体"/>
          <w:kern w:val="2"/>
          <w:sz w:val="21"/>
          <w:szCs w:val="21"/>
        </w:rPr>
        <w:t>。</w:t>
      </w:r>
      <w:r>
        <w:rPr>
          <w:rFonts w:hint="eastAsia" w:eastAsia="宋体"/>
          <w:kern w:val="2"/>
          <w:sz w:val="21"/>
          <w:szCs w:val="21"/>
        </w:rPr>
        <w:t>P</w:t>
      </w:r>
      <w:r>
        <w:rPr>
          <w:rFonts w:eastAsia="宋体"/>
          <w:kern w:val="2"/>
          <w:sz w:val="21"/>
          <w:szCs w:val="21"/>
        </w:rPr>
        <w:t>D</w:t>
      </w:r>
      <w:r>
        <w:rPr>
          <w:rFonts w:hint="eastAsia" w:eastAsia="宋体"/>
          <w:kern w:val="2"/>
          <w:sz w:val="21"/>
          <w:szCs w:val="21"/>
        </w:rPr>
        <w:t>和L</w:t>
      </w:r>
      <w:r>
        <w:rPr>
          <w:rFonts w:eastAsia="宋体"/>
          <w:kern w:val="2"/>
          <w:sz w:val="21"/>
          <w:szCs w:val="21"/>
        </w:rPr>
        <w:t>GD</w:t>
      </w:r>
      <w:r>
        <w:rPr>
          <w:rFonts w:hint="eastAsia" w:eastAsia="宋体"/>
          <w:kern w:val="2"/>
          <w:sz w:val="21"/>
          <w:szCs w:val="21"/>
        </w:rPr>
        <w:t>不考虑信用风险缓释。</w:t>
      </w:r>
    </w:p>
    <w:p>
      <w:pPr>
        <w:spacing w:line="440" w:lineRule="exact"/>
        <w:rPr>
          <w:b/>
          <w:szCs w:val="21"/>
        </w:rPr>
      </w:pPr>
      <w:r>
        <w:rPr>
          <w:rFonts w:hint="eastAsia"/>
          <w:b/>
          <w:szCs w:val="21"/>
        </w:rPr>
        <w:t>第四部分：其他说明</w:t>
      </w:r>
    </w:p>
    <w:p>
      <w:pPr>
        <w:spacing w:line="440" w:lineRule="exact"/>
        <w:ind w:firstLine="420" w:firstLineChars="200"/>
        <w:rPr>
          <w:b/>
          <w:szCs w:val="21"/>
        </w:rPr>
      </w:pPr>
      <w:r>
        <w:rPr>
          <w:rFonts w:hint="eastAsia" w:ascii="宋体" w:hAnsi="宋体"/>
          <w:color w:val="0D0D0D"/>
          <w:szCs w:val="21"/>
        </w:rPr>
        <w:t>除第二部分规定的折算汇率计算方法外，填报机构也可选取报告期末某一固定时点的市场实际交易价格作为折算汇率。</w:t>
      </w:r>
    </w:p>
    <w:p>
      <w:pPr>
        <w:spacing w:line="440" w:lineRule="exact"/>
        <w:rPr>
          <w:b/>
          <w:bCs/>
          <w:color w:val="000000"/>
          <w:szCs w:val="21"/>
        </w:rPr>
      </w:pPr>
      <w:r>
        <w:rPr>
          <w:b/>
          <w:bCs/>
          <w:color w:val="000000"/>
          <w:szCs w:val="21"/>
        </w:rPr>
        <w:t>第</w:t>
      </w:r>
      <w:r>
        <w:rPr>
          <w:rFonts w:hint="eastAsia"/>
          <w:b/>
          <w:bCs/>
          <w:color w:val="000000"/>
          <w:szCs w:val="21"/>
        </w:rPr>
        <w:t>五</w:t>
      </w:r>
      <w:r>
        <w:rPr>
          <w:b/>
          <w:bCs/>
          <w:color w:val="000000"/>
          <w:szCs w:val="21"/>
        </w:rPr>
        <w:t>部分：核对关系</w:t>
      </w:r>
    </w:p>
    <w:p>
      <w:pPr>
        <w:spacing w:line="440" w:lineRule="exact"/>
        <w:ind w:firstLine="421" w:firstLineChars="200"/>
        <w:rPr>
          <w:b/>
          <w:color w:val="000000"/>
          <w:szCs w:val="21"/>
        </w:rPr>
      </w:pPr>
      <w:r>
        <w:rPr>
          <w:rFonts w:hint="eastAsia"/>
          <w:b/>
          <w:color w:val="000000"/>
          <w:szCs w:val="21"/>
        </w:rPr>
        <w:t>1.表内核对关系</w:t>
      </w:r>
    </w:p>
    <w:p>
      <w:pPr>
        <w:spacing w:line="440" w:lineRule="exact"/>
        <w:ind w:firstLine="421" w:firstLineChars="200"/>
        <w:rPr>
          <w:b/>
          <w:color w:val="000000"/>
          <w:szCs w:val="21"/>
        </w:rPr>
      </w:pPr>
      <w:r>
        <w:rPr>
          <w:rFonts w:hint="eastAsia"/>
          <w:b/>
          <w:color w:val="000000"/>
          <w:szCs w:val="21"/>
        </w:rPr>
        <w:t>第I部分：无净额结算的违约风险暴露计算表</w:t>
      </w:r>
    </w:p>
    <w:p>
      <w:pPr>
        <w:spacing w:line="440" w:lineRule="exact"/>
        <w:ind w:firstLine="420" w:firstLineChars="200"/>
        <w:rPr>
          <w:rFonts w:ascii="宋体" w:hAnsi="宋体"/>
          <w:color w:val="000000"/>
          <w:szCs w:val="21"/>
        </w:rPr>
      </w:pPr>
      <w:r>
        <w:rPr>
          <w:rFonts w:ascii="宋体" w:hAnsi="宋体"/>
          <w:color w:val="000000"/>
          <w:szCs w:val="21"/>
        </w:rPr>
        <w:t>[1</w:t>
      </w:r>
      <w:r>
        <w:rPr>
          <w:rFonts w:hint="eastAsia" w:ascii="宋体" w:hAnsi="宋体"/>
          <w:color w:val="000000"/>
          <w:szCs w:val="21"/>
        </w:rPr>
        <w:t>.</w:t>
      </w:r>
      <w:r>
        <w:rPr>
          <w:rFonts w:ascii="宋体" w:hAnsi="宋体"/>
          <w:color w:val="000000"/>
          <w:szCs w:val="21"/>
        </w:rPr>
        <w:t>]</w:t>
      </w:r>
      <w:r>
        <w:rPr>
          <w:rFonts w:hint="eastAsia" w:ascii="宋体" w:hAnsi="宋体"/>
          <w:color w:val="000000"/>
          <w:szCs w:val="21"/>
        </w:rPr>
        <w:t>=</w:t>
      </w:r>
      <w:r>
        <w:rPr>
          <w:rFonts w:ascii="宋体" w:hAnsi="宋体"/>
          <w:color w:val="000000"/>
          <w:szCs w:val="21"/>
        </w:rPr>
        <w:t xml:space="preserve"> [1.1]</w:t>
      </w:r>
      <w:r>
        <w:rPr>
          <w:rFonts w:hint="eastAsia" w:ascii="宋体" w:hAnsi="宋体"/>
          <w:color w:val="000000"/>
          <w:szCs w:val="21"/>
        </w:rPr>
        <w:t>+</w:t>
      </w:r>
      <w:r>
        <w:rPr>
          <w:rFonts w:ascii="宋体" w:hAnsi="宋体"/>
          <w:color w:val="000000"/>
          <w:szCs w:val="21"/>
        </w:rPr>
        <w:t>[1.2]</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[1.1]</w:t>
      </w:r>
      <w:r>
        <w:rPr>
          <w:rFonts w:hint="eastAsia" w:ascii="宋体" w:hAnsi="宋体"/>
          <w:color w:val="000000"/>
          <w:szCs w:val="21"/>
        </w:rPr>
        <w:t>=</w:t>
      </w:r>
      <w:r>
        <w:rPr>
          <w:rFonts w:ascii="宋体" w:hAnsi="宋体"/>
          <w:color w:val="000000"/>
          <w:szCs w:val="21"/>
        </w:rPr>
        <w:t>[1.1.1]+[1.1.2]+[1.1.3]+[1.1.4]+[1.1.5]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[1.2]</w:t>
      </w:r>
      <w:r>
        <w:rPr>
          <w:rFonts w:hint="eastAsia" w:ascii="宋体" w:hAnsi="宋体"/>
          <w:color w:val="000000"/>
          <w:szCs w:val="21"/>
        </w:rPr>
        <w:t>=</w:t>
      </w:r>
      <w:r>
        <w:rPr>
          <w:rFonts w:ascii="宋体" w:hAnsi="宋体"/>
          <w:color w:val="000000"/>
          <w:szCs w:val="21"/>
        </w:rPr>
        <w:t>[1.2.1]+[1.2.2]+[1.2.3]+[1.2.4]+[1.2.5]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[2</w:t>
      </w:r>
      <w:r>
        <w:rPr>
          <w:rFonts w:hint="eastAsia" w:ascii="宋体" w:hAnsi="宋体"/>
          <w:color w:val="000000"/>
          <w:szCs w:val="21"/>
        </w:rPr>
        <w:t>.</w:t>
      </w:r>
      <w:r>
        <w:rPr>
          <w:rFonts w:ascii="宋体" w:hAnsi="宋体"/>
          <w:color w:val="000000"/>
          <w:szCs w:val="21"/>
        </w:rPr>
        <w:t>]</w:t>
      </w:r>
      <w:r>
        <w:rPr>
          <w:rFonts w:hint="eastAsia" w:ascii="宋体" w:hAnsi="宋体"/>
          <w:color w:val="000000"/>
          <w:szCs w:val="21"/>
        </w:rPr>
        <w:t>=</w:t>
      </w:r>
      <w:r>
        <w:rPr>
          <w:rFonts w:ascii="宋体" w:hAnsi="宋体"/>
          <w:color w:val="000000"/>
          <w:szCs w:val="21"/>
        </w:rPr>
        <w:t xml:space="preserve"> [2.1]</w:t>
      </w:r>
      <w:r>
        <w:rPr>
          <w:rFonts w:hint="eastAsia" w:ascii="宋体" w:hAnsi="宋体"/>
          <w:color w:val="000000"/>
          <w:szCs w:val="21"/>
        </w:rPr>
        <w:t>+</w:t>
      </w:r>
      <w:r>
        <w:rPr>
          <w:rFonts w:ascii="宋体" w:hAnsi="宋体"/>
          <w:color w:val="000000"/>
          <w:szCs w:val="21"/>
        </w:rPr>
        <w:t xml:space="preserve"> [2.2] </w:t>
      </w:r>
      <w:r>
        <w:rPr>
          <w:rFonts w:hint="eastAsia" w:ascii="宋体" w:hAnsi="宋体"/>
          <w:color w:val="000000"/>
          <w:szCs w:val="21"/>
        </w:rPr>
        <w:t>+</w:t>
      </w:r>
      <w:r>
        <w:rPr>
          <w:rFonts w:ascii="宋体" w:hAnsi="宋体"/>
          <w:color w:val="000000"/>
          <w:szCs w:val="21"/>
        </w:rPr>
        <w:t>[2.3]</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[2.1]</w:t>
      </w:r>
      <w:r>
        <w:rPr>
          <w:rFonts w:hint="eastAsia" w:ascii="宋体" w:hAnsi="宋体"/>
          <w:color w:val="000000"/>
          <w:szCs w:val="21"/>
        </w:rPr>
        <w:t>=</w:t>
      </w:r>
      <w:r>
        <w:rPr>
          <w:rFonts w:ascii="宋体" w:hAnsi="宋体"/>
          <w:color w:val="000000"/>
          <w:szCs w:val="21"/>
        </w:rPr>
        <w:t>[2.1.1]+[2.1.2]+[2.1.3]+[2.1.4]+[2.1.5]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[2.2]</w:t>
      </w:r>
      <w:r>
        <w:rPr>
          <w:rFonts w:hint="eastAsia" w:ascii="宋体" w:hAnsi="宋体"/>
          <w:color w:val="000000"/>
          <w:szCs w:val="21"/>
        </w:rPr>
        <w:t>=</w:t>
      </w:r>
      <w:r>
        <w:rPr>
          <w:rFonts w:ascii="宋体" w:hAnsi="宋体"/>
          <w:color w:val="000000"/>
          <w:szCs w:val="21"/>
        </w:rPr>
        <w:t>[2.2.1]+[2.2.2]+[2.2.3]+[2.2.4]+[2.2.5]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[2.3]</w:t>
      </w:r>
      <w:r>
        <w:rPr>
          <w:rFonts w:hint="eastAsia" w:ascii="宋体" w:hAnsi="宋体"/>
          <w:color w:val="000000"/>
          <w:szCs w:val="21"/>
        </w:rPr>
        <w:t>=</w:t>
      </w:r>
      <w:r>
        <w:rPr>
          <w:rFonts w:ascii="宋体" w:hAnsi="宋体"/>
          <w:color w:val="000000"/>
          <w:szCs w:val="21"/>
        </w:rPr>
        <w:t>[2.3.1]+[2.3.2]+[2.3.3]+[2.3.4]+[2.3.5]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[3</w:t>
      </w:r>
      <w:r>
        <w:rPr>
          <w:rFonts w:hint="eastAsia" w:ascii="宋体" w:hAnsi="宋体"/>
          <w:color w:val="000000"/>
          <w:szCs w:val="21"/>
        </w:rPr>
        <w:t>.</w:t>
      </w:r>
      <w:r>
        <w:rPr>
          <w:rFonts w:ascii="宋体" w:hAnsi="宋体"/>
          <w:color w:val="000000"/>
          <w:szCs w:val="21"/>
        </w:rPr>
        <w:t>]</w:t>
      </w:r>
      <w:r>
        <w:rPr>
          <w:rFonts w:hint="eastAsia" w:ascii="宋体" w:hAnsi="宋体"/>
          <w:color w:val="000000"/>
          <w:szCs w:val="21"/>
        </w:rPr>
        <w:t>=</w:t>
      </w:r>
      <w:r>
        <w:rPr>
          <w:rFonts w:ascii="宋体" w:hAnsi="宋体"/>
          <w:color w:val="000000"/>
          <w:szCs w:val="21"/>
        </w:rPr>
        <w:t xml:space="preserve"> [3.1] +[3.2] +[3.3]</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[3.1]</w:t>
      </w:r>
      <w:r>
        <w:rPr>
          <w:rFonts w:hint="eastAsia" w:ascii="宋体" w:hAnsi="宋体"/>
          <w:color w:val="000000"/>
          <w:szCs w:val="21"/>
        </w:rPr>
        <w:t>=</w:t>
      </w:r>
      <w:r>
        <w:rPr>
          <w:rFonts w:ascii="宋体" w:hAnsi="宋体"/>
          <w:color w:val="000000"/>
          <w:szCs w:val="21"/>
        </w:rPr>
        <w:t>[3.1.1]+[3.1.2]+[3.1.3]+[3.1.4]+[3.1.5]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[3.2]</w:t>
      </w:r>
      <w:r>
        <w:rPr>
          <w:rFonts w:hint="eastAsia" w:ascii="宋体" w:hAnsi="宋体"/>
          <w:color w:val="000000"/>
          <w:szCs w:val="21"/>
        </w:rPr>
        <w:t>=</w:t>
      </w:r>
      <w:r>
        <w:rPr>
          <w:rFonts w:ascii="宋体" w:hAnsi="宋体"/>
          <w:color w:val="000000"/>
          <w:szCs w:val="21"/>
        </w:rPr>
        <w:t>[3.2.1]+[3.2.2]+[3.2.3]+[3.2.4]+[3.2.5]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[3.3]</w:t>
      </w:r>
      <w:r>
        <w:rPr>
          <w:rFonts w:hint="eastAsia" w:ascii="宋体" w:hAnsi="宋体"/>
          <w:color w:val="000000"/>
          <w:szCs w:val="21"/>
        </w:rPr>
        <w:t>=</w:t>
      </w:r>
      <w:r>
        <w:rPr>
          <w:rFonts w:ascii="宋体" w:hAnsi="宋体"/>
          <w:color w:val="000000"/>
          <w:szCs w:val="21"/>
        </w:rPr>
        <w:t>[3.3.1]+[3.3.2]+[3.3.3]+[3.3.4]+[3.3.5]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[4</w:t>
      </w:r>
      <w:r>
        <w:rPr>
          <w:rFonts w:hint="eastAsia" w:ascii="宋体" w:hAnsi="宋体"/>
          <w:color w:val="000000"/>
          <w:szCs w:val="21"/>
        </w:rPr>
        <w:t>.</w:t>
      </w:r>
      <w:r>
        <w:rPr>
          <w:rFonts w:ascii="宋体" w:hAnsi="宋体"/>
          <w:color w:val="000000"/>
          <w:szCs w:val="21"/>
        </w:rPr>
        <w:t>]</w:t>
      </w:r>
      <w:r>
        <w:rPr>
          <w:rFonts w:hint="eastAsia" w:ascii="宋体" w:hAnsi="宋体"/>
          <w:color w:val="000000"/>
          <w:szCs w:val="21"/>
        </w:rPr>
        <w:t>=</w:t>
      </w:r>
      <w:r>
        <w:rPr>
          <w:rFonts w:ascii="宋体" w:hAnsi="宋体"/>
          <w:color w:val="000000"/>
          <w:szCs w:val="21"/>
        </w:rPr>
        <w:t>[4.1] +[4.2]+[4.3]</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[4.1]</w:t>
      </w:r>
      <w:r>
        <w:rPr>
          <w:rFonts w:hint="eastAsia" w:ascii="宋体" w:hAnsi="宋体"/>
          <w:color w:val="000000"/>
          <w:szCs w:val="21"/>
        </w:rPr>
        <w:t>=</w:t>
      </w:r>
      <w:r>
        <w:rPr>
          <w:rFonts w:ascii="宋体" w:hAnsi="宋体"/>
          <w:color w:val="000000"/>
          <w:szCs w:val="21"/>
        </w:rPr>
        <w:t>[4.1.1]+[4.1.2]+[4.1.3]+[4.1.4]+[4.1.5]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[4.2]</w:t>
      </w:r>
      <w:r>
        <w:rPr>
          <w:rFonts w:hint="eastAsia" w:ascii="宋体" w:hAnsi="宋体"/>
          <w:color w:val="000000"/>
          <w:szCs w:val="21"/>
        </w:rPr>
        <w:t>=</w:t>
      </w:r>
      <w:r>
        <w:rPr>
          <w:rFonts w:ascii="宋体" w:hAnsi="宋体"/>
          <w:color w:val="000000"/>
          <w:szCs w:val="21"/>
        </w:rPr>
        <w:t>[4.2.1]+[4.2.2]+[4.2.3]+[4.2.4]+[4.2.5]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[4.3]</w:t>
      </w:r>
      <w:r>
        <w:rPr>
          <w:rFonts w:hint="eastAsia" w:ascii="宋体" w:hAnsi="宋体"/>
          <w:color w:val="000000"/>
          <w:szCs w:val="21"/>
        </w:rPr>
        <w:t>=</w:t>
      </w:r>
      <w:r>
        <w:rPr>
          <w:rFonts w:ascii="宋体" w:hAnsi="宋体"/>
          <w:color w:val="000000"/>
          <w:szCs w:val="21"/>
        </w:rPr>
        <w:t>[4.3.1]+[4.3.2]+[4.3.3]+[4.3.4]+[4.3.5]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[5</w:t>
      </w:r>
      <w:r>
        <w:rPr>
          <w:rFonts w:hint="eastAsia" w:ascii="宋体" w:hAnsi="宋体"/>
          <w:color w:val="000000"/>
          <w:szCs w:val="21"/>
        </w:rPr>
        <w:t>.</w:t>
      </w:r>
      <w:r>
        <w:rPr>
          <w:rFonts w:ascii="宋体" w:hAnsi="宋体"/>
          <w:color w:val="000000"/>
          <w:szCs w:val="21"/>
        </w:rPr>
        <w:t>]</w:t>
      </w:r>
      <w:r>
        <w:rPr>
          <w:rFonts w:hint="eastAsia" w:ascii="宋体" w:hAnsi="宋体"/>
          <w:color w:val="000000"/>
          <w:szCs w:val="21"/>
        </w:rPr>
        <w:t>=</w:t>
      </w:r>
      <w:r>
        <w:rPr>
          <w:rFonts w:ascii="宋体" w:hAnsi="宋体"/>
          <w:color w:val="000000"/>
          <w:szCs w:val="21"/>
        </w:rPr>
        <w:t>[5.1] +[5.2] +[5.3]</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[5.1]</w:t>
      </w:r>
      <w:r>
        <w:rPr>
          <w:rFonts w:hint="eastAsia" w:ascii="宋体" w:hAnsi="宋体"/>
          <w:color w:val="000000"/>
          <w:szCs w:val="21"/>
        </w:rPr>
        <w:t>=</w:t>
      </w:r>
      <w:r>
        <w:rPr>
          <w:rFonts w:ascii="宋体" w:hAnsi="宋体"/>
          <w:color w:val="000000"/>
          <w:szCs w:val="21"/>
        </w:rPr>
        <w:t>[5.1.1]+[5.1.2]+[5.1.3]+[5.1.4]+[5.1.5]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[5.2]</w:t>
      </w:r>
      <w:r>
        <w:rPr>
          <w:rFonts w:hint="eastAsia" w:ascii="宋体" w:hAnsi="宋体"/>
          <w:color w:val="000000"/>
          <w:szCs w:val="21"/>
        </w:rPr>
        <w:t>=</w:t>
      </w:r>
      <w:r>
        <w:rPr>
          <w:rFonts w:ascii="宋体" w:hAnsi="宋体"/>
          <w:color w:val="000000"/>
          <w:szCs w:val="21"/>
        </w:rPr>
        <w:t>[5.2.1]+[5.2.2]+[5.2.3]+[5.2.4]+[5.2.5]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[5.3]</w:t>
      </w:r>
      <w:r>
        <w:rPr>
          <w:rFonts w:hint="eastAsia" w:ascii="宋体" w:hAnsi="宋体"/>
          <w:color w:val="000000"/>
          <w:szCs w:val="21"/>
        </w:rPr>
        <w:t>=</w:t>
      </w:r>
      <w:r>
        <w:rPr>
          <w:rFonts w:ascii="宋体" w:hAnsi="宋体"/>
          <w:color w:val="000000"/>
          <w:szCs w:val="21"/>
        </w:rPr>
        <w:t>[5.3.1]+[5.3.2]+[5.3.3]+[5.3.4]+[5.3.5]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[6</w:t>
      </w:r>
      <w:r>
        <w:rPr>
          <w:rFonts w:hint="eastAsia" w:ascii="宋体" w:hAnsi="宋体"/>
          <w:color w:val="000000"/>
          <w:szCs w:val="21"/>
        </w:rPr>
        <w:t>.</w:t>
      </w:r>
      <w:r>
        <w:rPr>
          <w:rFonts w:ascii="宋体" w:hAnsi="宋体"/>
          <w:color w:val="000000"/>
          <w:szCs w:val="21"/>
        </w:rPr>
        <w:t>]</w:t>
      </w:r>
      <w:r>
        <w:rPr>
          <w:rFonts w:hint="eastAsia" w:ascii="宋体" w:hAnsi="宋体"/>
          <w:color w:val="000000"/>
          <w:szCs w:val="21"/>
        </w:rPr>
        <w:t>=</w:t>
      </w:r>
      <w:r>
        <w:rPr>
          <w:rFonts w:ascii="宋体" w:hAnsi="宋体"/>
          <w:color w:val="000000"/>
          <w:szCs w:val="21"/>
        </w:rPr>
        <w:t xml:space="preserve"> +[6.1] +[6.2] +[6.3]</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[6.1]</w:t>
      </w:r>
      <w:r>
        <w:rPr>
          <w:rFonts w:hint="eastAsia" w:ascii="宋体" w:hAnsi="宋体"/>
          <w:color w:val="000000"/>
          <w:szCs w:val="21"/>
        </w:rPr>
        <w:t>=</w:t>
      </w:r>
      <w:r>
        <w:rPr>
          <w:rFonts w:ascii="宋体" w:hAnsi="宋体"/>
          <w:color w:val="000000"/>
          <w:szCs w:val="21"/>
        </w:rPr>
        <w:t>[6.1.1]+[6.1.2]+[6.1.3]+[6.1.4]+[6.1.5]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[6.2]</w:t>
      </w:r>
      <w:r>
        <w:rPr>
          <w:rFonts w:hint="eastAsia" w:ascii="宋体" w:hAnsi="宋体"/>
          <w:color w:val="000000"/>
          <w:szCs w:val="21"/>
        </w:rPr>
        <w:t>=</w:t>
      </w:r>
      <w:r>
        <w:rPr>
          <w:rFonts w:ascii="宋体" w:hAnsi="宋体"/>
          <w:color w:val="000000"/>
          <w:szCs w:val="21"/>
        </w:rPr>
        <w:t>[6.2.1]+[6.2.2]+[6.2.3]+[6.2.4]+[6.2.5]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[6.3]</w:t>
      </w:r>
      <w:r>
        <w:rPr>
          <w:rFonts w:hint="eastAsia" w:ascii="宋体" w:hAnsi="宋体"/>
          <w:color w:val="000000"/>
          <w:szCs w:val="21"/>
        </w:rPr>
        <w:t>=</w:t>
      </w:r>
      <w:r>
        <w:rPr>
          <w:rFonts w:ascii="宋体" w:hAnsi="宋体"/>
          <w:color w:val="000000"/>
          <w:szCs w:val="21"/>
        </w:rPr>
        <w:t>[6.3.1]+[6.3.2]+[6.3.3]+[6.3.4]+[6.3.5]</w:t>
      </w:r>
      <w:r>
        <w:rPr>
          <w:rFonts w:hint="eastAsia" w:ascii="宋体" w:hAnsi="宋体"/>
          <w:color w:val="000000"/>
          <w:szCs w:val="21"/>
        </w:rPr>
        <w:t>，适用于A、C、D、E列</w:t>
      </w:r>
    </w:p>
    <w:p>
      <w:pPr>
        <w:spacing w:line="440" w:lineRule="exact"/>
        <w:ind w:firstLine="420" w:firstLineChars="200"/>
        <w:rPr>
          <w:rFonts w:ascii="宋体" w:hAnsi="宋体"/>
          <w:color w:val="000000"/>
          <w:szCs w:val="21"/>
        </w:rPr>
      </w:pPr>
      <w:r>
        <w:rPr>
          <w:rFonts w:ascii="宋体" w:hAnsi="宋体"/>
          <w:color w:val="000000"/>
          <w:szCs w:val="21"/>
        </w:rPr>
        <w:t>[7</w:t>
      </w:r>
      <w:r>
        <w:rPr>
          <w:rFonts w:hint="eastAsia" w:ascii="宋体" w:hAnsi="宋体"/>
          <w:color w:val="000000"/>
          <w:szCs w:val="21"/>
        </w:rPr>
        <w:t>.</w:t>
      </w:r>
      <w:r>
        <w:rPr>
          <w:rFonts w:ascii="宋体" w:hAnsi="宋体"/>
          <w:color w:val="000000"/>
          <w:szCs w:val="21"/>
        </w:rPr>
        <w:t>]</w:t>
      </w:r>
      <w:r>
        <w:rPr>
          <w:rFonts w:hint="eastAsia" w:ascii="宋体" w:hAnsi="宋体"/>
          <w:color w:val="000000"/>
          <w:szCs w:val="21"/>
        </w:rPr>
        <w:t>=[1]+[2]+[3]+[4]+[5]+[6]，适用于A、C、D、E列</w:t>
      </w:r>
    </w:p>
    <w:p>
      <w:pPr>
        <w:spacing w:line="440" w:lineRule="exact"/>
        <w:ind w:firstLine="420" w:firstLineChars="200"/>
        <w:rPr>
          <w:rFonts w:ascii="宋体" w:hAnsi="宋体"/>
          <w:color w:val="000000"/>
          <w:szCs w:val="21"/>
        </w:rPr>
      </w:pPr>
      <w:r>
        <w:rPr>
          <w:rFonts w:ascii="宋体" w:hAnsi="宋体"/>
          <w:color w:val="000000"/>
          <w:szCs w:val="21"/>
        </w:rPr>
        <w:t>[D]=[A]</w:t>
      </w:r>
      <w:r>
        <w:rPr>
          <w:rFonts w:hint="eastAsia" w:ascii="宋体" w:hAnsi="宋体"/>
          <w:color w:val="000000"/>
          <w:szCs w:val="21"/>
        </w:rPr>
        <w:t>×</w:t>
      </w:r>
      <w:r>
        <w:rPr>
          <w:rFonts w:ascii="宋体" w:hAnsi="宋体"/>
          <w:color w:val="000000"/>
          <w:szCs w:val="21"/>
        </w:rPr>
        <w:t>[B]+[C]</w:t>
      </w:r>
      <w:r>
        <w:rPr>
          <w:rFonts w:hint="eastAsia" w:ascii="宋体" w:hAnsi="宋体"/>
          <w:color w:val="000000"/>
          <w:szCs w:val="21"/>
        </w:rPr>
        <w:t xml:space="preserve"> （不适用于1.1.1-1.1.5以及1.2.1-1.2.5，但对于1.信用衍生工具，只有在参照资产的发行人尚能履约但信用保护买方破产的情况下才需符合该校验关系，否则</w:t>
      </w:r>
      <w:r>
        <w:rPr>
          <w:rFonts w:ascii="宋体" w:hAnsi="宋体"/>
          <w:color w:val="000000"/>
          <w:szCs w:val="21"/>
        </w:rPr>
        <w:t>[D]=[C]</w:t>
      </w:r>
      <w:r>
        <w:rPr>
          <w:rFonts w:hint="eastAsia" w:ascii="宋体" w:hAnsi="宋体"/>
          <w:color w:val="000000"/>
          <w:szCs w:val="21"/>
        </w:rPr>
        <w:t>），适用于2.1.1-2.1.5；2.2.1-2.2.5；2.3.1-2.3.5；3.1.1-3.1.5；3.2.1-3.2.5；3.3.1-3.3.5；4.1.1-4.1.5；4.2.1-4.2.5；4.3.1-4.3.5；5.1.1-5.1.5；5.2.1-5.2.5；5.3.1-5.3.5；6.1.1-6.1.5；6.2.1-6.2.5；6.3.1-6.3.5行。</w:t>
      </w:r>
    </w:p>
    <w:p>
      <w:pPr>
        <w:spacing w:line="440" w:lineRule="exact"/>
        <w:ind w:firstLine="421" w:firstLineChars="200"/>
        <w:rPr>
          <w:rFonts w:ascii="宋体" w:hAnsi="宋体"/>
          <w:b/>
          <w:color w:val="000000"/>
          <w:szCs w:val="21"/>
        </w:rPr>
      </w:pPr>
      <w:r>
        <w:rPr>
          <w:rFonts w:hint="eastAsia" w:ascii="宋体" w:hAnsi="宋体"/>
          <w:b/>
          <w:color w:val="000000"/>
          <w:szCs w:val="21"/>
        </w:rPr>
        <w:t>第II部分：净额结算的违约风险暴露计算表</w:t>
      </w:r>
    </w:p>
    <w:p>
      <w:pPr>
        <w:spacing w:line="440" w:lineRule="exact"/>
        <w:ind w:firstLine="420" w:firstLineChars="200"/>
        <w:rPr>
          <w:rFonts w:ascii="宋体" w:hAnsi="宋体"/>
          <w:color w:val="000000"/>
          <w:szCs w:val="21"/>
        </w:rPr>
      </w:pPr>
      <w:r>
        <w:rPr>
          <w:rFonts w:ascii="宋体" w:hAnsi="宋体"/>
          <w:color w:val="000000"/>
          <w:szCs w:val="21"/>
        </w:rPr>
        <w:t>[</w:t>
      </w:r>
      <w:r>
        <w:rPr>
          <w:rFonts w:hint="eastAsia" w:ascii="宋体" w:hAnsi="宋体"/>
          <w:color w:val="000000"/>
          <w:szCs w:val="21"/>
        </w:rPr>
        <w:t>6</w:t>
      </w:r>
      <w:r>
        <w:rPr>
          <w:rFonts w:ascii="宋体" w:hAnsi="宋体"/>
          <w:color w:val="000000"/>
          <w:szCs w:val="21"/>
        </w:rPr>
        <w:t>]</w:t>
      </w:r>
      <w:r>
        <w:rPr>
          <w:rFonts w:hint="eastAsia" w:ascii="宋体" w:hAnsi="宋体"/>
          <w:color w:val="000000"/>
          <w:szCs w:val="21"/>
        </w:rPr>
        <w:t xml:space="preserve"> = [1] + [2] + [3] + [4] + [5]。适用于A、B、D、E、F、G列</w:t>
      </w:r>
    </w:p>
    <w:p>
      <w:pPr>
        <w:spacing w:line="440" w:lineRule="exact"/>
        <w:ind w:firstLine="420" w:firstLineChars="200"/>
        <w:rPr>
          <w:rFonts w:ascii="宋体" w:hAnsi="宋体"/>
          <w:color w:val="000000"/>
          <w:szCs w:val="21"/>
          <w:lang w:val="de-DE"/>
        </w:rPr>
      </w:pPr>
      <w:r>
        <w:rPr>
          <w:rFonts w:ascii="宋体" w:hAnsi="宋体"/>
          <w:color w:val="000000"/>
          <w:szCs w:val="21"/>
          <w:lang w:val="de-DE"/>
        </w:rPr>
        <w:t>[</w:t>
      </w:r>
      <w:r>
        <w:rPr>
          <w:rFonts w:hint="eastAsia" w:ascii="宋体" w:hAnsi="宋体"/>
          <w:color w:val="000000"/>
          <w:szCs w:val="21"/>
          <w:lang w:val="de-DE"/>
        </w:rPr>
        <w:t>F</w:t>
      </w:r>
      <w:r>
        <w:rPr>
          <w:rFonts w:ascii="宋体" w:hAnsi="宋体"/>
          <w:color w:val="000000"/>
          <w:szCs w:val="21"/>
          <w:lang w:val="de-DE"/>
        </w:rPr>
        <w:t>] = [</w:t>
      </w:r>
      <w:r>
        <w:rPr>
          <w:rFonts w:hint="eastAsia" w:ascii="宋体" w:hAnsi="宋体"/>
          <w:color w:val="000000"/>
          <w:szCs w:val="21"/>
          <w:lang w:val="de-DE"/>
        </w:rPr>
        <w:t>D</w:t>
      </w:r>
      <w:r>
        <w:rPr>
          <w:rFonts w:ascii="宋体" w:hAnsi="宋体"/>
          <w:color w:val="000000"/>
          <w:szCs w:val="21"/>
          <w:lang w:val="de-DE"/>
        </w:rPr>
        <w:t>]</w:t>
      </w:r>
      <w:r>
        <w:rPr>
          <w:rFonts w:hint="eastAsia" w:ascii="宋体" w:hAnsi="宋体"/>
          <w:color w:val="000000"/>
          <w:szCs w:val="21"/>
          <w:lang w:val="de-DE"/>
        </w:rPr>
        <w:t xml:space="preserve"> + </w:t>
      </w:r>
      <w:r>
        <w:rPr>
          <w:rFonts w:ascii="宋体" w:hAnsi="宋体"/>
          <w:color w:val="000000"/>
          <w:szCs w:val="21"/>
          <w:lang w:val="de-DE"/>
        </w:rPr>
        <w:t>[</w:t>
      </w:r>
      <w:r>
        <w:rPr>
          <w:rFonts w:hint="eastAsia" w:ascii="宋体" w:hAnsi="宋体"/>
          <w:color w:val="000000"/>
          <w:szCs w:val="21"/>
          <w:lang w:val="de-DE"/>
        </w:rPr>
        <w:t>E</w:t>
      </w:r>
      <w:r>
        <w:rPr>
          <w:rFonts w:ascii="宋体" w:hAnsi="宋体"/>
          <w:color w:val="000000"/>
          <w:szCs w:val="21"/>
          <w:lang w:val="de-DE"/>
        </w:rPr>
        <w:t>]</w:t>
      </w:r>
    </w:p>
    <w:p/>
    <w:sectPr>
      <w:footerReference r:id="rId3" w:type="default"/>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等线">
    <w:altName w:val="宋体"/>
    <w:panose1 w:val="02010600030101010101"/>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Abel">
    <w:altName w:val="DejaVu Math TeX Gyre"/>
    <w:panose1 w:val="000000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仿宋_GB2312">
    <w:panose1 w:val="02010609030101010101"/>
    <w:charset w:val="86"/>
    <w:family w:val="modern"/>
    <w:pitch w:val="default"/>
    <w:sig w:usb0="00000001" w:usb1="080E0000" w:usb2="00000000" w:usb3="00000000" w:csb0="00040000" w:csb1="00000000"/>
  </w:font>
  <w:font w:name="Tahoma">
    <w:altName w:val="DejaVu Sans"/>
    <w:panose1 w:val="020B0604030504040204"/>
    <w:charset w:val="00"/>
    <w:family w:val="swiss"/>
    <w:pitch w:val="default"/>
    <w:sig w:usb0="00000000" w:usb1="00000000" w:usb2="00000029" w:usb3="00000000" w:csb0="000101FF" w:csb1="00000000"/>
  </w:font>
  <w:font w:name="Verdana">
    <w:altName w:val="DejaVu Sans"/>
    <w:panose1 w:val="020B0604030504040204"/>
    <w:charset w:val="00"/>
    <w:family w:val="swiss"/>
    <w:pitch w:val="default"/>
    <w:sig w:usb0="00000000" w:usb1="00000000" w:usb2="00000010" w:usb3="00000000" w:csb0="0000019F" w:csb1="00000000"/>
  </w:font>
  <w:font w:name="仿宋">
    <w:panose1 w:val="02010609060101010101"/>
    <w:charset w:val="86"/>
    <w:family w:val="auto"/>
    <w:pitch w:val="default"/>
    <w:sig w:usb0="800002BF" w:usb1="38CF7CFA" w:usb2="00000016" w:usb3="00000000" w:csb0="00040001" w:csb1="00000000"/>
  </w:font>
  <w:font w:name="NanumGothic">
    <w:panose1 w:val="020D0604000000000000"/>
    <w:charset w:val="81"/>
    <w:family w:val="auto"/>
    <w:pitch w:val="default"/>
    <w:sig w:usb0="900002A7" w:usb1="29D7FCFB" w:usb2="00000010" w:usb3="00000000" w:csb0="00080001" w:csb1="00000000"/>
  </w:font>
  <w:font w:name="微软雅黑">
    <w:altName w:val="黑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96101304"/>
    </w:sdtPr>
    <w:sdtContent>
      <w:p>
        <w:pPr>
          <w:pStyle w:val="5"/>
          <w:jc w:val="center"/>
        </w:pPr>
        <w:r>
          <w:fldChar w:fldCharType="begin"/>
        </w:r>
        <w:r>
          <w:instrText xml:space="preserve">PAGE   \* MERGEFORMAT</w:instrText>
        </w:r>
        <w:r>
          <w:fldChar w:fldCharType="separate"/>
        </w:r>
        <w:r>
          <w:rPr>
            <w:lang w:val="zh-CN"/>
          </w:rPr>
          <w:t>6</w:t>
        </w:r>
        <w: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B46D7C"/>
    <w:rsid w:val="000319E4"/>
    <w:rsid w:val="000330AE"/>
    <w:rsid w:val="00087343"/>
    <w:rsid w:val="00173BE7"/>
    <w:rsid w:val="00186622"/>
    <w:rsid w:val="0019764C"/>
    <w:rsid w:val="0020623A"/>
    <w:rsid w:val="00210799"/>
    <w:rsid w:val="00266D9F"/>
    <w:rsid w:val="0029468A"/>
    <w:rsid w:val="002D1405"/>
    <w:rsid w:val="002D6729"/>
    <w:rsid w:val="002F31D2"/>
    <w:rsid w:val="0030595E"/>
    <w:rsid w:val="00346FE3"/>
    <w:rsid w:val="00495B9B"/>
    <w:rsid w:val="004A6632"/>
    <w:rsid w:val="004D58B4"/>
    <w:rsid w:val="005069E1"/>
    <w:rsid w:val="00604057"/>
    <w:rsid w:val="00663424"/>
    <w:rsid w:val="006B5E26"/>
    <w:rsid w:val="006D37D7"/>
    <w:rsid w:val="007178A1"/>
    <w:rsid w:val="007A3719"/>
    <w:rsid w:val="007C65A3"/>
    <w:rsid w:val="007D62C0"/>
    <w:rsid w:val="007E2AED"/>
    <w:rsid w:val="008027E0"/>
    <w:rsid w:val="00AB664F"/>
    <w:rsid w:val="00B33748"/>
    <w:rsid w:val="00B3711F"/>
    <w:rsid w:val="00B46D7C"/>
    <w:rsid w:val="00B816F0"/>
    <w:rsid w:val="00B83DB1"/>
    <w:rsid w:val="00BA7D86"/>
    <w:rsid w:val="00BF5A82"/>
    <w:rsid w:val="00C06717"/>
    <w:rsid w:val="00C17D4D"/>
    <w:rsid w:val="00C2509E"/>
    <w:rsid w:val="00C31A68"/>
    <w:rsid w:val="00C5532C"/>
    <w:rsid w:val="00C66700"/>
    <w:rsid w:val="00C82FA6"/>
    <w:rsid w:val="00D27354"/>
    <w:rsid w:val="00D32510"/>
    <w:rsid w:val="00D42C98"/>
    <w:rsid w:val="00DD243F"/>
    <w:rsid w:val="00DF5142"/>
    <w:rsid w:val="00E0527A"/>
    <w:rsid w:val="00ED3337"/>
    <w:rsid w:val="00EE370B"/>
    <w:rsid w:val="00FF334E"/>
    <w:rsid w:val="21BA408D"/>
    <w:rsid w:val="241F77D0"/>
    <w:rsid w:val="2FFFCDFF"/>
    <w:rsid w:val="393A773B"/>
    <w:rsid w:val="3A9121CE"/>
    <w:rsid w:val="5BF9B245"/>
    <w:rsid w:val="5F1A10E7"/>
    <w:rsid w:val="66D8640C"/>
    <w:rsid w:val="78F6050E"/>
    <w:rsid w:val="7FAFA03D"/>
    <w:rsid w:val="F6DF097B"/>
    <w:rsid w:val="F9F36AE2"/>
    <w:rsid w:val="FEDB8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0"/>
    <w:qFormat/>
    <w:uiPriority w:val="0"/>
    <w:pPr>
      <w:keepNext/>
      <w:jc w:val="center"/>
      <w:outlineLvl w:val="0"/>
    </w:pPr>
    <w:rPr>
      <w:rFonts w:eastAsia="黑体"/>
      <w:b/>
      <w:sz w:val="30"/>
      <w:szCs w:val="20"/>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2"/>
    <w:semiHidden/>
    <w:unhideWhenUsed/>
    <w:qFormat/>
    <w:uiPriority w:val="99"/>
    <w:rPr>
      <w:rFonts w:ascii="Abel" w:hAnsi="Abel"/>
      <w:sz w:val="26"/>
      <w:szCs w:val="26"/>
    </w:rPr>
  </w:style>
  <w:style w:type="paragraph" w:styleId="4">
    <w:name w:val="Balloon Text"/>
    <w:basedOn w:val="1"/>
    <w:link w:val="18"/>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tabs>
        <w:tab w:val="center" w:pos="4153"/>
        <w:tab w:val="right" w:pos="8306"/>
      </w:tabs>
      <w:snapToGrid w:val="0"/>
      <w:jc w:val="center"/>
    </w:pPr>
    <w:rPr>
      <w:sz w:val="18"/>
      <w:szCs w:val="18"/>
    </w:rPr>
  </w:style>
  <w:style w:type="paragraph" w:styleId="7">
    <w:name w:val="Normal (Web)"/>
    <w:basedOn w:val="1"/>
    <w:qFormat/>
    <w:uiPriority w:val="0"/>
    <w:pPr>
      <w:widowControl/>
      <w:spacing w:line="440" w:lineRule="exact"/>
      <w:ind w:firstLine="480" w:firstLineChars="200"/>
      <w:jc w:val="left"/>
    </w:pPr>
    <w:rPr>
      <w:rFonts w:eastAsia="仿宋_GB2312"/>
      <w:color w:val="000000"/>
      <w:kern w:val="0"/>
      <w:sz w:val="24"/>
    </w:rPr>
  </w:style>
  <w:style w:type="character" w:customStyle="1" w:styleId="10">
    <w:name w:val="标题 1 字符"/>
    <w:basedOn w:val="9"/>
    <w:link w:val="2"/>
    <w:qFormat/>
    <w:uiPriority w:val="0"/>
    <w:rPr>
      <w:rFonts w:ascii="Times New Roman" w:hAnsi="Times New Roman" w:eastAsia="黑体" w:cs="Times New Roman"/>
      <w:b/>
      <w:sz w:val="30"/>
      <w:szCs w:val="20"/>
    </w:rPr>
  </w:style>
  <w:style w:type="paragraph" w:customStyle="1" w:styleId="11">
    <w:name w:val="默认段落字体 Para Char Char Char Char Char Char Char Char Char1 Char Char Char Char Char Char Char Char Char Char Char Char Char Char Char Char Char Char Char Char Char Char Char Char Char Char Char Char Char Char Char"/>
    <w:basedOn w:val="3"/>
    <w:qFormat/>
    <w:uiPriority w:val="0"/>
    <w:pPr>
      <w:shd w:val="clear" w:color="auto" w:fill="000080"/>
      <w:jc w:val="left"/>
    </w:pPr>
    <w:rPr>
      <w:rFonts w:ascii="Tahoma" w:hAnsi="Tahoma"/>
      <w:sz w:val="24"/>
      <w:szCs w:val="28"/>
    </w:rPr>
  </w:style>
  <w:style w:type="character" w:customStyle="1" w:styleId="12">
    <w:name w:val="文档结构图 字符"/>
    <w:basedOn w:val="9"/>
    <w:link w:val="3"/>
    <w:semiHidden/>
    <w:qFormat/>
    <w:uiPriority w:val="99"/>
    <w:rPr>
      <w:rFonts w:ascii="Abel" w:hAnsi="Abel" w:eastAsia="宋体" w:cs="Times New Roman"/>
      <w:sz w:val="26"/>
      <w:szCs w:val="26"/>
    </w:rPr>
  </w:style>
  <w:style w:type="paragraph" w:customStyle="1" w:styleId="13">
    <w:name w:val="_Style 11"/>
    <w:basedOn w:val="1"/>
    <w:qFormat/>
    <w:uiPriority w:val="0"/>
    <w:pPr>
      <w:widowControl/>
      <w:spacing w:after="160" w:line="240" w:lineRule="exact"/>
      <w:jc w:val="left"/>
    </w:pPr>
    <w:rPr>
      <w:rFonts w:ascii="Verdana" w:hAnsi="Verdana" w:cs="Verdana"/>
      <w:kern w:val="0"/>
      <w:sz w:val="20"/>
      <w:szCs w:val="20"/>
      <w:lang w:eastAsia="en-US"/>
    </w:rPr>
  </w:style>
  <w:style w:type="character" w:customStyle="1" w:styleId="14">
    <w:name w:val="页眉 字符"/>
    <w:basedOn w:val="9"/>
    <w:link w:val="6"/>
    <w:qFormat/>
    <w:uiPriority w:val="99"/>
    <w:rPr>
      <w:rFonts w:ascii="Times New Roman" w:hAnsi="Times New Roman" w:eastAsia="宋体" w:cs="Times New Roman"/>
      <w:sz w:val="18"/>
      <w:szCs w:val="18"/>
    </w:rPr>
  </w:style>
  <w:style w:type="character" w:customStyle="1" w:styleId="15">
    <w:name w:val="页脚 字符"/>
    <w:basedOn w:val="9"/>
    <w:link w:val="5"/>
    <w:qFormat/>
    <w:uiPriority w:val="99"/>
    <w:rPr>
      <w:rFonts w:ascii="Times New Roman" w:hAnsi="Times New Roman" w:eastAsia="宋体" w:cs="Times New Roman"/>
      <w:sz w:val="18"/>
      <w:szCs w:val="18"/>
    </w:rPr>
  </w:style>
  <w:style w:type="paragraph" w:customStyle="1" w:styleId="16">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17">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18">
    <w:name w:val="批注框文本 字符"/>
    <w:basedOn w:val="9"/>
    <w:link w:val="4"/>
    <w:semiHidden/>
    <w:qFormat/>
    <w:uiPriority w:val="99"/>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2.bin"/><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oleObject" Target="embeddings/oleObject7.bin"/><Relationship Id="rId15" Type="http://schemas.openxmlformats.org/officeDocument/2006/relationships/image" Target="media/image5.png"/><Relationship Id="rId14" Type="http://schemas.openxmlformats.org/officeDocument/2006/relationships/oleObject" Target="embeddings/oleObject6.bin"/><Relationship Id="rId13" Type="http://schemas.openxmlformats.org/officeDocument/2006/relationships/oleObject" Target="embeddings/oleObject5.bin"/><Relationship Id="rId12" Type="http://schemas.openxmlformats.org/officeDocument/2006/relationships/oleObject" Target="embeddings/oleObject4.bin"/><Relationship Id="rId11" Type="http://schemas.openxmlformats.org/officeDocument/2006/relationships/image" Target="media/image4.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808</Words>
  <Characters>4608</Characters>
  <Lines>38</Lines>
  <Paragraphs>10</Paragraphs>
  <TotalTime>1</TotalTime>
  <ScaleCrop>false</ScaleCrop>
  <LinksUpToDate>false</LinksUpToDate>
  <CharactersWithSpaces>5406</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2023-12-15T02:00:00Z</dcterms:created>
  <dc:creator>梁爽</dc:creator>
  <cp:lastModifiedBy>陈静</cp:lastModifiedBy>
  <dcterms:modified xsi:type="dcterms:W3CDTF">2024-12-13T15:04:55Z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1C270BA54F7D4F9193DEBFE7B4C62606_13</vt:lpwstr>
  </property>
</Properties>
</file>