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20"/>
        <w:jc w:val="center"/>
      </w:pPr>
      <w:r>
        <w:rPr>
          <w:rFonts w:ascii="宋体" w:hAnsi="宋体" w:eastAsia="宋体"/>
          <w:b/>
          <w:color w:val="000000"/>
          <w:sz w:val="44"/>
        </w:rPr>
        <w:t>华 中 师 范 大 学</w:t>
      </w:r>
    </w:p>
    <w:p>
      <w:pPr>
        <w:spacing w:after="240"/>
        <w:jc w:val="center"/>
      </w:pPr>
      <w:r>
        <w:rPr>
          <w:rFonts w:ascii="宋体" w:hAnsi="宋体" w:eastAsia="宋体"/>
          <w:b/>
          <w:color w:val="000000"/>
          <w:sz w:val="36"/>
        </w:rPr>
        <w:t>《语音识别》程序设计课程综合项目设计报告</w:t>
      </w:r>
    </w:p>
    <w:p/>
    <w:p/>
    <w:p/>
    <w:p>
      <w:pPr>
        <w:spacing w:after="320"/>
        <w:jc w:val="center"/>
      </w:pPr>
      <w:r>
        <w:rPr>
          <w:rFonts w:ascii="黑体" w:hAnsi="黑体" w:eastAsia="黑体"/>
          <w:b/>
          <w:color w:val="000000"/>
          <w:sz w:val="36"/>
        </w:rPr>
        <w:t>基于 OWSM v4 与参数高效微调的多语种语种识别系统</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Pr>
          <w:p>
            <w:pPr>
              <w:jc w:val="center"/>
            </w:pPr>
            <w:r/>
            <w:r>
              <w:rPr>
                <w:rFonts w:ascii="宋体" w:hAnsi="宋体" w:eastAsia="宋体"/>
                <w:b/>
                <w:color w:val="000000"/>
                <w:sz w:val="24"/>
              </w:rPr>
              <w:t>姓    名</w:t>
            </w:r>
          </w:p>
        </w:tc>
        <w:tc>
          <w:tcPr>
            <w:tcW w:type="dxa" w:w="4680"/>
            <w:vAlign w:val="center"/>
          </w:tcPr>
          <w:p>
            <w:pPr>
              <w:jc w:val="center"/>
            </w:pPr>
            <w:r/>
            <w:r>
              <w:rPr>
                <w:rFonts w:ascii="宋体" w:hAnsi="宋体" w:eastAsia="宋体"/>
                <w:b w:val="0"/>
                <w:color w:val="000000"/>
                <w:sz w:val="24"/>
              </w:rPr>
              <w:t>姜硕阳</w:t>
            </w:r>
          </w:p>
        </w:tc>
      </w:tr>
      <w:tr>
        <w:tc>
          <w:tcPr>
            <w:tcW w:type="dxa" w:w="4680"/>
            <w:vAlign w:val="center"/>
          </w:tcPr>
          <w:p>
            <w:pPr>
              <w:jc w:val="center"/>
            </w:pPr>
            <w:r/>
            <w:r>
              <w:rPr>
                <w:rFonts w:ascii="宋体" w:hAnsi="宋体" w:eastAsia="宋体"/>
                <w:b/>
                <w:color w:val="000000"/>
                <w:sz w:val="24"/>
              </w:rPr>
              <w:t>学    号</w:t>
            </w:r>
          </w:p>
        </w:tc>
        <w:tc>
          <w:tcPr>
            <w:tcW w:type="dxa" w:w="4680"/>
            <w:vAlign w:val="center"/>
          </w:tcPr>
          <w:p>
            <w:pPr>
              <w:jc w:val="center"/>
            </w:pPr>
            <w:r/>
            <w:r>
              <w:rPr>
                <w:rFonts w:ascii="宋体" w:hAnsi="宋体" w:eastAsia="宋体"/>
                <w:b w:val="0"/>
                <w:color w:val="000000"/>
                <w:sz w:val="24"/>
              </w:rPr>
              <w:t>2023215822</w:t>
            </w:r>
          </w:p>
        </w:tc>
      </w:tr>
      <w:tr>
        <w:tc>
          <w:tcPr>
            <w:tcW w:type="dxa" w:w="4680"/>
            <w:vAlign w:val="center"/>
          </w:tcPr>
          <w:p>
            <w:pPr>
              <w:jc w:val="center"/>
            </w:pPr>
            <w:r/>
            <w:r>
              <w:rPr>
                <w:rFonts w:ascii="宋体" w:hAnsi="宋体" w:eastAsia="宋体"/>
                <w:b/>
                <w:color w:val="000000"/>
                <w:sz w:val="24"/>
              </w:rPr>
              <w:t>专    业</w:t>
            </w:r>
          </w:p>
        </w:tc>
        <w:tc>
          <w:tcPr>
            <w:tcW w:type="dxa" w:w="4680"/>
            <w:vAlign w:val="center"/>
          </w:tcPr>
          <w:p>
            <w:pPr>
              <w:jc w:val="center"/>
            </w:pPr>
            <w:r/>
            <w:r>
              <w:rPr>
                <w:rFonts w:ascii="宋体" w:hAnsi="宋体" w:eastAsia="宋体"/>
                <w:b w:val="0"/>
                <w:color w:val="000000"/>
                <w:sz w:val="24"/>
              </w:rPr>
              <w:t>________________</w:t>
            </w:r>
          </w:p>
        </w:tc>
      </w:tr>
      <w:tr>
        <w:tc>
          <w:tcPr>
            <w:tcW w:type="dxa" w:w="4680"/>
            <w:vAlign w:val="center"/>
          </w:tcPr>
          <w:p>
            <w:pPr>
              <w:jc w:val="center"/>
            </w:pPr>
            <w:r/>
            <w:r>
              <w:rPr>
                <w:rFonts w:ascii="宋体" w:hAnsi="宋体" w:eastAsia="宋体"/>
                <w:b/>
                <w:color w:val="000000"/>
                <w:sz w:val="24"/>
              </w:rPr>
              <w:t>年    级</w:t>
            </w:r>
          </w:p>
        </w:tc>
        <w:tc>
          <w:tcPr>
            <w:tcW w:type="dxa" w:w="4680"/>
            <w:vAlign w:val="center"/>
          </w:tcPr>
          <w:p>
            <w:pPr>
              <w:jc w:val="center"/>
            </w:pPr>
            <w:r/>
            <w:r>
              <w:rPr>
                <w:rFonts w:ascii="宋体" w:hAnsi="宋体" w:eastAsia="宋体"/>
                <w:b w:val="0"/>
                <w:color w:val="000000"/>
                <w:sz w:val="24"/>
              </w:rPr>
              <w:t>________________</w:t>
            </w:r>
          </w:p>
        </w:tc>
      </w:tr>
      <w:tr>
        <w:tc>
          <w:tcPr>
            <w:tcW w:type="dxa" w:w="4680"/>
            <w:vAlign w:val="center"/>
          </w:tcPr>
          <w:p>
            <w:pPr>
              <w:jc w:val="center"/>
            </w:pPr>
            <w:r/>
            <w:r>
              <w:rPr>
                <w:rFonts w:ascii="宋体" w:hAnsi="宋体" w:eastAsia="宋体"/>
                <w:b/>
                <w:color w:val="000000"/>
                <w:sz w:val="24"/>
              </w:rPr>
              <w:t>项目题目</w:t>
            </w:r>
          </w:p>
        </w:tc>
        <w:tc>
          <w:tcPr>
            <w:tcW w:type="dxa" w:w="4680"/>
            <w:vAlign w:val="center"/>
          </w:tcPr>
          <w:p>
            <w:pPr>
              <w:jc w:val="center"/>
            </w:pPr>
            <w:r/>
            <w:r>
              <w:rPr>
                <w:rFonts w:ascii="宋体" w:hAnsi="宋体" w:eastAsia="宋体"/>
                <w:b w:val="0"/>
                <w:color w:val="000000"/>
                <w:sz w:val="24"/>
              </w:rPr>
              <w:t>基于 OWSM v4 与参数高效微调的多语种语种识别系统</w:t>
            </w:r>
          </w:p>
        </w:tc>
      </w:tr>
    </w:tbl>
    <w:p>
      <w:r>
        <w:br w:type="page"/>
      </w:r>
    </w:p>
    <w:p>
      <w:pPr>
        <w:spacing w:before="200" w:after="120"/>
      </w:pPr>
      <w:r>
        <w:rPr>
          <w:rFonts w:ascii="黑体" w:hAnsi="黑体" w:eastAsia="黑体"/>
          <w:b/>
          <w:color w:val="000000"/>
          <w:sz w:val="28"/>
        </w:rPr>
        <w:t>摘  要</w:t>
      </w:r>
    </w:p>
    <w:p>
      <w:pPr>
        <w:spacing w:line="360" w:lineRule="auto" w:after="60"/>
        <w:ind w:firstLine="480"/>
      </w:pPr>
      <w:r>
        <w:rPr>
          <w:rFonts w:ascii="宋体" w:hAnsi="宋体" w:eastAsia="宋体"/>
          <w:b w:val="0"/>
          <w:color w:val="000000"/>
          <w:sz w:val="24"/>
        </w:rPr>
        <w:t>本项目围绕语音识别课程中的多语种语音处理问题，设计并实现了一个五语种语音语种识别系统。系统输入一段语音后，不进行文字转写，而是判断该语音属于中文、英文、法语、日语或韩语中的哪一种。语种识别可以看作多语种语音识别系统的前置环节，在多语种会议、智能客服、语音翻译和语音数据整理等场景中具有实际意义。</w:t>
      </w:r>
    </w:p>
    <w:p>
      <w:pPr>
        <w:spacing w:line="360" w:lineRule="auto" w:after="60"/>
        <w:ind w:firstLine="480"/>
      </w:pPr>
      <w:r>
        <w:rPr>
          <w:rFonts w:ascii="宋体" w:hAnsi="宋体" w:eastAsia="宋体"/>
          <w:b w:val="0"/>
          <w:color w:val="000000"/>
          <w:sz w:val="24"/>
        </w:rPr>
        <w:t>项目采用 OWSM-CTC v4 预训练语音模型作为语音编码器，利用其在大规模多语种语音数据中学习到的通用声学表示能力。训练过程中冻结预训练主干，不从零训练大模型，也不全量微调 1B 级参数，而是在编码器后加入卷积适配模块、时序注意力池化模块、语音嵌入层和角度间隔分类头，只训练少量新增参数完成五分类任务。该方案既能体现近年语音基础模型的发展方向，也适合课程项目中有限数据和有限算力的实际条件。</w:t>
      </w:r>
    </w:p>
    <w:p>
      <w:pPr>
        <w:spacing w:line="360" w:lineRule="auto" w:after="60"/>
        <w:ind w:firstLine="480"/>
      </w:pPr>
      <w:r>
        <w:rPr>
          <w:rFonts w:ascii="宋体" w:hAnsi="宋体" w:eastAsia="宋体"/>
          <w:b w:val="0"/>
          <w:color w:val="000000"/>
          <w:sz w:val="24"/>
        </w:rPr>
        <w:t>在音频处理方面，系统将输入音频统一转换为单声道 16kHz，并进行音量归一化、固定窗口切分和多窗口预测融合。训练阶段引入音量扰动、时间平移、轻微噪声和随机裁剪等增强方式，提升模型对不同录音条件的适应能力。数据方面，项目使用 FLEURS 五语种数据构建基础训练和同源测试，并引入 VoxLingua107 五语种数据进行域适配和外部测试。实验结果显示，模型在内部测试集达到 100.00% 准确率，在 VoxLingua107 外部测试集 10000 条样本上达到 99.29% 准确率，说明系统在当前五语种范围内具有较好的识别效果和跨数据集泛化能力。</w:t>
      </w:r>
    </w:p>
    <w:p>
      <w:r>
        <w:rPr>
          <w:rFonts w:ascii="黑体" w:hAnsi="黑体" w:eastAsia="黑体"/>
          <w:b/>
          <w:color w:val="000000"/>
          <w:sz w:val="24"/>
        </w:rPr>
        <w:t>关键词：</w:t>
      </w:r>
      <w:r>
        <w:rPr>
          <w:rFonts w:ascii="宋体" w:hAnsi="宋体" w:eastAsia="宋体"/>
          <w:b w:val="0"/>
          <w:color w:val="000000"/>
          <w:sz w:val="24"/>
        </w:rPr>
        <w:t>语种识别；预训练语音模型；OWSM-CTC v4；参数高效微调；时序注意力池化；低资源训练</w:t>
      </w:r>
    </w:p>
    <w:p>
      <w:r>
        <w:br w:type="page"/>
      </w:r>
    </w:p>
    <w:p>
      <w:pPr>
        <w:spacing w:before="200" w:after="120"/>
      </w:pPr>
      <w:r>
        <w:rPr>
          <w:rFonts w:ascii="黑体" w:hAnsi="黑体" w:eastAsia="黑体"/>
          <w:b/>
          <w:color w:val="000000"/>
          <w:sz w:val="28"/>
        </w:rPr>
        <w:t>目  录</w:t>
      </w:r>
    </w:p>
    <w:p>
      <w:pPr>
        <w:spacing w:line="360" w:lineRule="auto" w:after="60"/>
      </w:pPr>
      <w:r>
        <w:rPr>
          <w:rFonts w:ascii="宋体" w:hAnsi="宋体" w:eastAsia="宋体"/>
          <w:b w:val="0"/>
          <w:color w:val="000000"/>
          <w:sz w:val="24"/>
        </w:rPr>
        <w:t>1 项目简介</w:t>
      </w:r>
    </w:p>
    <w:p>
      <w:pPr>
        <w:spacing w:line="360" w:lineRule="auto" w:after="60"/>
      </w:pPr>
      <w:r>
        <w:rPr>
          <w:rFonts w:ascii="宋体" w:hAnsi="宋体" w:eastAsia="宋体"/>
          <w:b w:val="0"/>
          <w:color w:val="000000"/>
          <w:sz w:val="24"/>
        </w:rPr>
        <w:t>2 系统总体设计</w:t>
      </w:r>
    </w:p>
    <w:p>
      <w:pPr>
        <w:spacing w:line="360" w:lineRule="auto" w:after="60"/>
      </w:pPr>
      <w:r>
        <w:rPr>
          <w:rFonts w:ascii="宋体" w:hAnsi="宋体" w:eastAsia="宋体"/>
          <w:b w:val="0"/>
          <w:color w:val="000000"/>
          <w:sz w:val="24"/>
        </w:rPr>
        <w:t>3 采用的关键技术或主要方法</w:t>
      </w:r>
    </w:p>
    <w:p>
      <w:pPr>
        <w:spacing w:line="360" w:lineRule="auto" w:after="60"/>
      </w:pPr>
      <w:r>
        <w:rPr>
          <w:rFonts w:ascii="宋体" w:hAnsi="宋体" w:eastAsia="宋体"/>
          <w:b w:val="0"/>
          <w:color w:val="000000"/>
          <w:sz w:val="24"/>
        </w:rPr>
        <w:t>4 实现效果及分析</w:t>
      </w:r>
    </w:p>
    <w:p>
      <w:pPr>
        <w:spacing w:line="360" w:lineRule="auto" w:after="60"/>
      </w:pPr>
      <w:r>
        <w:rPr>
          <w:rFonts w:ascii="宋体" w:hAnsi="宋体" w:eastAsia="宋体"/>
          <w:b w:val="0"/>
          <w:color w:val="000000"/>
          <w:sz w:val="24"/>
        </w:rPr>
        <w:t>5 总结</w:t>
      </w:r>
    </w:p>
    <w:p>
      <w:pPr>
        <w:spacing w:line="360" w:lineRule="auto" w:after="60"/>
      </w:pPr>
      <w:r>
        <w:rPr>
          <w:rFonts w:ascii="宋体" w:hAnsi="宋体" w:eastAsia="宋体"/>
          <w:b w:val="0"/>
          <w:color w:val="000000"/>
          <w:sz w:val="24"/>
        </w:rPr>
        <w:t>参考文献</w:t>
      </w:r>
    </w:p>
    <w:p>
      <w:r>
        <w:br w:type="page"/>
      </w:r>
    </w:p>
    <w:p>
      <w:pPr>
        <w:spacing w:before="200" w:after="120"/>
      </w:pPr>
      <w:r>
        <w:rPr>
          <w:rFonts w:ascii="黑体" w:hAnsi="黑体" w:eastAsia="黑体"/>
          <w:b/>
          <w:color w:val="000000"/>
          <w:sz w:val="28"/>
        </w:rPr>
        <w:t>1 项目简介</w:t>
      </w:r>
    </w:p>
    <w:p>
      <w:pPr>
        <w:spacing w:before="120" w:after="80"/>
      </w:pPr>
      <w:r>
        <w:rPr>
          <w:rFonts w:ascii="黑体" w:hAnsi="黑体" w:eastAsia="黑体"/>
          <w:b/>
          <w:color w:val="000000"/>
          <w:sz w:val="24"/>
        </w:rPr>
        <w:t>1.1 项目背景</w:t>
      </w:r>
    </w:p>
    <w:p>
      <w:pPr>
        <w:spacing w:line="360" w:lineRule="auto" w:after="60"/>
        <w:ind w:firstLine="480"/>
      </w:pPr>
      <w:r>
        <w:rPr>
          <w:rFonts w:ascii="宋体" w:hAnsi="宋体" w:eastAsia="宋体"/>
          <w:b w:val="0"/>
          <w:color w:val="000000"/>
          <w:sz w:val="24"/>
        </w:rPr>
        <w:t>随着互联网内容、跨境交流和在线会议的发展，一段语音来自哪一种语言已经成为很多语音系统必须先解决的问题。对于单语种语音识别系统，模型只需要面对固定语言；但在真实场景中，用户可能使用不同语言输入语音。如果系统不能先判断语种，就难以选择合适的识别模型、词表、发音规则和后处理方法。</w:t>
      </w:r>
    </w:p>
    <w:p>
      <w:pPr>
        <w:spacing w:line="360" w:lineRule="auto" w:after="60"/>
        <w:ind w:firstLine="480"/>
      </w:pPr>
      <w:r>
        <w:rPr>
          <w:rFonts w:ascii="宋体" w:hAnsi="宋体" w:eastAsia="宋体"/>
          <w:b w:val="0"/>
          <w:color w:val="000000"/>
          <w:sz w:val="24"/>
        </w:rPr>
        <w:t>本项目选择语种识别作为课程综合项目主题，是因为它既属于语音识别方向，又能和预训练语音模型、音频预处理、声学特征建模、分类训练和系统部署等内容结合起来。项目没有把重点放在页面效果上，而是围绕语音信号如何进入模型、模型如何提取语音特征、如何训练分类器以及如何评价识别效果展开。</w:t>
      </w:r>
    </w:p>
    <w:p>
      <w:pPr>
        <w:spacing w:before="120" w:after="80"/>
      </w:pPr>
      <w:r>
        <w:rPr>
          <w:rFonts w:ascii="黑体" w:hAnsi="黑体" w:eastAsia="黑体"/>
          <w:b/>
          <w:color w:val="000000"/>
          <w:sz w:val="24"/>
        </w:rPr>
        <w:t>1.2 项目意义</w:t>
      </w:r>
    </w:p>
    <w:p>
      <w:pPr>
        <w:spacing w:line="360" w:lineRule="auto" w:after="60"/>
        <w:ind w:firstLine="480"/>
      </w:pPr>
      <w:r>
        <w:rPr>
          <w:rFonts w:ascii="宋体" w:hAnsi="宋体" w:eastAsia="宋体"/>
          <w:b w:val="0"/>
          <w:color w:val="000000"/>
          <w:sz w:val="24"/>
        </w:rPr>
        <w:t>语种识别在实际系统中有比较清晰的应用价值。对于多语种语音转写系统，语种识别可以决定后续调用哪一个语音识别模型；对于语音翻译系统，它可以帮助确定源语言；对于客服系统，它可以把不同语种用户分流到不同服务队列；对于大规模语音数据整理，它可以自动标注音频语言，减少人工分类成本。</w:t>
      </w:r>
    </w:p>
    <w:p>
      <w:pPr>
        <w:spacing w:line="360" w:lineRule="auto" w:after="60"/>
        <w:ind w:firstLine="480"/>
      </w:pPr>
      <w:r>
        <w:rPr>
          <w:rFonts w:ascii="宋体" w:hAnsi="宋体" w:eastAsia="宋体"/>
          <w:b w:val="0"/>
          <w:color w:val="000000"/>
          <w:sz w:val="24"/>
        </w:rPr>
        <w:t>从课程学习角度看，本项目把语音识别中的多个知识点串联起来，包括采样率统一、波形预处理、预训练模型迁移、时序特征聚合、分类损失、评价指标和混淆矩阵分析。相比只调用一个现成接口，本项目更能说明语音模型从训练到评估再到部署的完整过程。</w:t>
      </w:r>
    </w:p>
    <w:p>
      <w:pPr>
        <w:spacing w:before="120" w:after="80"/>
      </w:pPr>
      <w:r>
        <w:rPr>
          <w:rFonts w:ascii="黑体" w:hAnsi="黑体" w:eastAsia="黑体"/>
          <w:b/>
          <w:color w:val="000000"/>
          <w:sz w:val="24"/>
        </w:rPr>
        <w:t>1.3 项目目标</w:t>
      </w:r>
    </w:p>
    <w:p>
      <w:pPr>
        <w:spacing w:line="360" w:lineRule="auto" w:after="60"/>
        <w:ind w:firstLine="480"/>
      </w:pPr>
      <w:r>
        <w:rPr>
          <w:rFonts w:ascii="宋体" w:hAnsi="宋体" w:eastAsia="宋体"/>
          <w:b w:val="0"/>
          <w:color w:val="000000"/>
          <w:sz w:val="24"/>
        </w:rPr>
        <w:t>项目目标主要包括四点。第一，构建中文、英文、法语、日语和韩语五个语种的训练、验证和测试数据。第二，设计稳定的音频预处理流程，使不同格式、不同采样率、不同长度的音频都能输入模型。第三，基于 OWSM-CTC v4 预训练模型设计语种分类网络，并完成训练和评估。第四，完成可运行的演示系统，使用户能够通过上传音频或浏览器录音看到预测结果和概率分布。</w:t>
      </w:r>
    </w:p>
    <w:p>
      <w:pPr>
        <w:spacing w:before="120" w:after="80"/>
      </w:pPr>
      <w:r>
        <w:rPr>
          <w:rFonts w:ascii="黑体" w:hAnsi="黑体" w:eastAsia="黑体"/>
          <w:b/>
          <w:color w:val="000000"/>
          <w:sz w:val="24"/>
        </w:rPr>
        <w:t>1.4 开发环境</w:t>
      </w:r>
    </w:p>
    <w:p>
      <w:pPr>
        <w:spacing w:line="360" w:lineRule="auto" w:after="60"/>
        <w:ind w:firstLine="480"/>
      </w:pPr>
      <w:r>
        <w:rPr>
          <w:rFonts w:ascii="宋体" w:hAnsi="宋体" w:eastAsia="宋体"/>
          <w:b w:val="0"/>
          <w:color w:val="000000"/>
          <w:sz w:val="24"/>
        </w:rPr>
        <w:t>项目模型部分主要使用 Python、PyTorch 和 ESPnet。PyTorch 用于模型训练和推理，ESPnet 用于加载 OWSM-CTC v4 预训练语音模型，librosa 和 soundfile 用于音频读取、重采样和波形处理，scikit-learn 用于计算准确率、精确率、召回率、F1 值和混淆矩阵。后端使用 FastAPI 封装推理服务，前端使用 React 和 Vite 展示上传、录音和识别结果。</w:t>
      </w:r>
    </w:p>
    <w:p>
      <w:pPr>
        <w:spacing w:before="200" w:after="120"/>
      </w:pPr>
      <w:r>
        <w:rPr>
          <w:rFonts w:ascii="黑体" w:hAnsi="黑体" w:eastAsia="黑体"/>
          <w:b/>
          <w:color w:val="000000"/>
          <w:sz w:val="28"/>
        </w:rPr>
        <w:t>2 系统总体设计</w:t>
      </w:r>
    </w:p>
    <w:p>
      <w:pPr>
        <w:spacing w:before="120" w:after="80"/>
      </w:pPr>
      <w:r>
        <w:rPr>
          <w:rFonts w:ascii="黑体" w:hAnsi="黑体" w:eastAsia="黑体"/>
          <w:b/>
          <w:color w:val="000000"/>
          <w:sz w:val="24"/>
        </w:rPr>
        <w:t>2.1 任务定义</w:t>
      </w:r>
    </w:p>
    <w:p>
      <w:pPr>
        <w:spacing w:line="360" w:lineRule="auto" w:after="60"/>
        <w:ind w:firstLine="480"/>
      </w:pPr>
      <w:r>
        <w:rPr>
          <w:rFonts w:ascii="宋体" w:hAnsi="宋体" w:eastAsia="宋体"/>
          <w:b w:val="0"/>
          <w:color w:val="000000"/>
          <w:sz w:val="24"/>
        </w:rPr>
        <w:t>本项目任务是五分类语音语种识别。给定一段语音，模型输出五个语种的概率，并选择概率最高的语种作为最终结果。这个任务与语音转文字不同，它不关心说话内容具体是什么，而是关心语音整体属于哪一种语言。因此，模型使用的是语音编码器的高层特征，而不是语音识别模型的文字输出。</w:t>
      </w:r>
    </w:p>
    <w:p>
      <w:pPr>
        <w:spacing w:before="120" w:after="80"/>
      </w:pPr>
      <w:r>
        <w:rPr>
          <w:rFonts w:ascii="黑体" w:hAnsi="黑体" w:eastAsia="黑体"/>
          <w:b/>
          <w:color w:val="000000"/>
          <w:sz w:val="24"/>
        </w:rPr>
        <w:t>2.2 系统流程</w:t>
      </w:r>
    </w:p>
    <w:p>
      <w:pPr>
        <w:spacing w:line="360" w:lineRule="auto" w:after="60"/>
        <w:ind w:firstLine="480"/>
      </w:pPr>
      <w:r>
        <w:rPr>
          <w:rFonts w:ascii="宋体" w:hAnsi="宋体" w:eastAsia="宋体"/>
          <w:b w:val="0"/>
          <w:color w:val="000000"/>
          <w:sz w:val="24"/>
        </w:rPr>
        <w:t>系统从用户音频输入开始。音频首先被转换为统一格式，然后根据固定窗口长度进行补齐或切分。每个音频窗口输入 OWSM-CTC v4 语音编码器，得到帧级语音特征。之后，卷积适配模块对这些特征进行任务相关变换，时序注意力池化模块把帧级特征聚合为整段语音向量，角度间隔分类头输出五个语种的分类得分。对于长音频，系统会融合多个窗口的结果，得到最终预测。</w:t>
      </w:r>
    </w:p>
    <w:p>
      <w:pPr>
        <w:spacing w:before="120" w:after="80"/>
      </w:pPr>
      <w:r>
        <w:rPr>
          <w:rFonts w:ascii="黑体" w:hAnsi="黑体" w:eastAsia="黑体"/>
          <w:b/>
          <w:color w:val="000000"/>
          <w:sz w:val="24"/>
        </w:rPr>
        <w:t>2.3 模块划分</w:t>
      </w:r>
    </w:p>
    <w:p>
      <w:pPr>
        <w:spacing w:line="360" w:lineRule="auto" w:after="60"/>
        <w:ind w:firstLine="480"/>
      </w:pPr>
      <w:r>
        <w:rPr>
          <w:rFonts w:ascii="宋体" w:hAnsi="宋体" w:eastAsia="宋体"/>
          <w:b w:val="0"/>
          <w:color w:val="000000"/>
          <w:sz w:val="24"/>
        </w:rPr>
        <w:t>系统可以分为数据处理模块、模型训练模块、模型评估模块和推理展示模块。数据处理模块负责音频扫描、读取、重采样、切窗和增强；模型训练模块负责构建分类网络、计算损失和保存最佳模型；模型评估模块负责内部测试和外部测试，输出评价指标和图表；推理展示模块负责加载训练好的模型，并为前端页面提供预测结果。</w:t>
      </w:r>
    </w:p>
    <w:p>
      <w:pPr>
        <w:spacing w:before="120" w:after="80"/>
      </w:pPr>
      <w:r>
        <w:rPr>
          <w:rFonts w:ascii="黑体" w:hAnsi="黑体" w:eastAsia="黑体"/>
          <w:b/>
          <w:color w:val="000000"/>
          <w:sz w:val="24"/>
        </w:rPr>
        <w:t>2.4 设计原则</w:t>
      </w:r>
    </w:p>
    <w:p>
      <w:pPr>
        <w:spacing w:line="360" w:lineRule="auto" w:after="60"/>
        <w:ind w:firstLine="480"/>
      </w:pPr>
      <w:r>
        <w:rPr>
          <w:rFonts w:ascii="宋体" w:hAnsi="宋体" w:eastAsia="宋体"/>
          <w:b w:val="0"/>
          <w:color w:val="000000"/>
          <w:sz w:val="24"/>
        </w:rPr>
        <w:t>项目设计遵循三个原则。第一，训练方案要符合课程项目的算力条件，不能依赖从零训练大模型。第二，评价方式要有说服力，不能只在训练同源数据上看效果，因此加入外部数据集测试。第三，系统要能演示，不只是离线脚本运行，所以最终实现了上传音频和浏览器录音两种交互方式。</w:t>
      </w:r>
    </w:p>
    <w:p>
      <w:pPr>
        <w:spacing w:before="200" w:after="120"/>
      </w:pPr>
      <w:r>
        <w:rPr>
          <w:rFonts w:ascii="黑体" w:hAnsi="黑体" w:eastAsia="黑体"/>
          <w:b/>
          <w:color w:val="000000"/>
          <w:sz w:val="28"/>
        </w:rPr>
        <w:t>3 采用的关键技术或主要方法</w:t>
      </w:r>
    </w:p>
    <w:p>
      <w:pPr>
        <w:spacing w:before="120" w:after="80"/>
      </w:pPr>
      <w:r>
        <w:rPr>
          <w:rFonts w:ascii="黑体" w:hAnsi="黑体" w:eastAsia="黑体"/>
          <w:b/>
          <w:color w:val="000000"/>
          <w:sz w:val="24"/>
        </w:rPr>
        <w:t>3.1 OWSM-CTC v4 预训练语音模型</w:t>
      </w:r>
    </w:p>
    <w:p>
      <w:pPr>
        <w:spacing w:line="360" w:lineRule="auto" w:after="60"/>
        <w:ind w:firstLine="480"/>
      </w:pPr>
      <w:r>
        <w:rPr>
          <w:rFonts w:ascii="宋体" w:hAnsi="宋体" w:eastAsia="宋体"/>
          <w:b w:val="0"/>
          <w:color w:val="000000"/>
          <w:sz w:val="24"/>
        </w:rPr>
        <w:t>OWSM-CTC v4 是近年开放的多语种语音基础模型。它的编码器已经在大规模语音数据上学习过，能够从原始语音中提取发音、音素、节奏和语流相关特征。虽然它原本面向语音识别等任务，但这些声学特征同样可以用于语种识别。</w:t>
      </w:r>
    </w:p>
    <w:p>
      <w:pPr>
        <w:spacing w:line="360" w:lineRule="auto" w:after="60"/>
        <w:ind w:firstLine="480"/>
      </w:pPr>
      <w:r>
        <w:rPr>
          <w:rFonts w:ascii="宋体" w:hAnsi="宋体" w:eastAsia="宋体"/>
          <w:b w:val="0"/>
          <w:color w:val="000000"/>
          <w:sz w:val="24"/>
        </w:rPr>
        <w:t>本项目只使用 OWSM-CTC v4 的语音编码能力，不使用它的文字解码结果。这样做的原因是语种识别不需要输出文字，只需要判断语言类别。编码器输出的高层语音表征已经包含足够的语言区分信息，因此在其后训练分类模块是合理的。</w:t>
      </w:r>
    </w:p>
    <w:p>
      <w:pPr>
        <w:spacing w:line="360" w:lineRule="auto" w:after="60"/>
        <w:ind w:firstLine="480"/>
      </w:pPr>
      <w:r>
        <w:rPr>
          <w:rFonts w:ascii="宋体" w:hAnsi="宋体" w:eastAsia="宋体"/>
          <w:b w:val="0"/>
          <w:color w:val="000000"/>
          <w:sz w:val="24"/>
        </w:rPr>
        <w:t>训练时冻结 OWSM 主干参数。这样做可以避免全量微调大型模型带来的显存压力，也可以减少小数据训练时破坏预训练能力的风险。课程项目中可用的数据和训练时间有限，冻结主干加轻量分类模块更稳定、更容易复现。</w:t>
      </w:r>
    </w:p>
    <w:p>
      <w:pPr>
        <w:spacing w:before="120" w:after="80"/>
      </w:pPr>
      <w:r>
        <w:rPr>
          <w:rFonts w:ascii="黑体" w:hAnsi="黑体" w:eastAsia="黑体"/>
          <w:b/>
          <w:color w:val="000000"/>
          <w:sz w:val="24"/>
        </w:rPr>
        <w:t>3.2 参数高效微调</w:t>
      </w:r>
    </w:p>
    <w:p>
      <w:pPr>
        <w:spacing w:line="360" w:lineRule="auto" w:after="60"/>
        <w:ind w:firstLine="480"/>
      </w:pPr>
      <w:r>
        <w:rPr>
          <w:rFonts w:ascii="宋体" w:hAnsi="宋体" w:eastAsia="宋体"/>
          <w:b w:val="0"/>
          <w:color w:val="000000"/>
          <w:sz w:val="24"/>
        </w:rPr>
        <w:t>参数高效微调是当前大模型应用中的常见思路。它不更新整个大模型，而是只训练少量新增参数，使预训练模型适应下游任务。本项目中的下游任务是五语种分类，因此只需要让模型在已有语音特征基础上学习语种边界，而不需要重新学习全部语音表示。</w:t>
      </w:r>
    </w:p>
    <w:p>
      <w:pPr>
        <w:spacing w:line="360" w:lineRule="auto" w:after="60"/>
        <w:ind w:firstLine="480"/>
      </w:pPr>
      <w:r>
        <w:rPr>
          <w:rFonts w:ascii="宋体" w:hAnsi="宋体" w:eastAsia="宋体"/>
          <w:b w:val="0"/>
          <w:color w:val="000000"/>
          <w:sz w:val="24"/>
        </w:rPr>
        <w:t>本项目采用卷积适配模块进行任务适配。卷积结构适合捕捉局部时间变化，例如短时间内的发音变化、音节连接和节奏模式。不同语言在这些局部声学模式上存在差异，因此卷积适配模块能够帮助分类器更好地区分语种。</w:t>
      </w:r>
    </w:p>
    <w:p>
      <w:pPr>
        <w:spacing w:before="120" w:after="80"/>
      </w:pPr>
      <w:r>
        <w:rPr>
          <w:rFonts w:ascii="黑体" w:hAnsi="黑体" w:eastAsia="黑体"/>
          <w:b/>
          <w:color w:val="000000"/>
          <w:sz w:val="24"/>
        </w:rPr>
        <w:t>3.3 时序注意力池化</w:t>
      </w:r>
    </w:p>
    <w:p>
      <w:pPr>
        <w:spacing w:line="360" w:lineRule="auto" w:after="60"/>
        <w:ind w:firstLine="480"/>
      </w:pPr>
      <w:r>
        <w:rPr>
          <w:rFonts w:ascii="宋体" w:hAnsi="宋体" w:eastAsia="宋体"/>
          <w:b w:val="0"/>
          <w:color w:val="000000"/>
          <w:sz w:val="24"/>
        </w:rPr>
        <w:t>语音编码器输出的是一串随时间变化的帧级特征，而最终分类需要一个固定长度的整段语音表示。简单平均会把所有时间片段同等对待，但真实音频中可能存在静音、停顿、噪声或无关片段。时序注意力池化通过学习每个时间片段的重要性，让模型更多关注具有语种区分度的语音部分。</w:t>
      </w:r>
    </w:p>
    <w:p>
      <w:pPr>
        <w:spacing w:line="360" w:lineRule="auto" w:after="60"/>
        <w:ind w:firstLine="480"/>
      </w:pPr>
      <w:r>
        <w:rPr>
          <w:rFonts w:ascii="宋体" w:hAnsi="宋体" w:eastAsia="宋体"/>
          <w:b w:val="0"/>
          <w:color w:val="000000"/>
          <w:sz w:val="24"/>
        </w:rPr>
        <w:t>这部分可以理解为系统的“重点片段选择”能力。它不是把整段音频机械平均，而是让模型自动判断哪些语音帧更能代表语言特征。这对长音频和录音质量不均匀的音频都有帮助。</w:t>
      </w:r>
    </w:p>
    <w:p>
      <w:pPr>
        <w:spacing w:before="120" w:after="80"/>
      </w:pPr>
      <w:r>
        <w:rPr>
          <w:rFonts w:ascii="黑体" w:hAnsi="黑体" w:eastAsia="黑体"/>
          <w:b/>
          <w:color w:val="000000"/>
          <w:sz w:val="24"/>
        </w:rPr>
        <w:t>3.4 角度间隔分类头</w:t>
      </w:r>
    </w:p>
    <w:p>
      <w:pPr>
        <w:spacing w:line="360" w:lineRule="auto" w:after="60"/>
        <w:ind w:firstLine="480"/>
      </w:pPr>
      <w:r>
        <w:rPr>
          <w:rFonts w:ascii="宋体" w:hAnsi="宋体" w:eastAsia="宋体"/>
          <w:b w:val="0"/>
          <w:color w:val="000000"/>
          <w:sz w:val="24"/>
        </w:rPr>
        <w:t>角度间隔分类头用于增强类别之间的区分度。普通分类头只要求预测正确，而角度间隔分类头会进一步约束特征空间，使同一语种的语音表示更加集中，不同语种之间间隔更大。</w:t>
      </w:r>
    </w:p>
    <w:p>
      <w:pPr>
        <w:spacing w:line="360" w:lineRule="auto" w:after="60"/>
        <w:ind w:firstLine="480"/>
      </w:pPr>
      <w:r>
        <w:rPr>
          <w:rFonts w:ascii="宋体" w:hAnsi="宋体" w:eastAsia="宋体"/>
          <w:b w:val="0"/>
          <w:color w:val="000000"/>
          <w:sz w:val="24"/>
        </w:rPr>
        <w:t>在语种识别中，一些语种之间可能存在相近的韵律或音节结构，例如日语和韩语在部分语音节奏上容易造成混淆。角度间隔分类可以让模型学习更清晰的类别边界，从而降低相近语种之间的误判。</w:t>
      </w:r>
    </w:p>
    <w:p>
      <w:pPr>
        <w:spacing w:before="120" w:after="80"/>
      </w:pPr>
      <w:r>
        <w:rPr>
          <w:rFonts w:ascii="黑体" w:hAnsi="黑体" w:eastAsia="黑体"/>
          <w:b/>
          <w:color w:val="000000"/>
          <w:sz w:val="24"/>
        </w:rPr>
        <w:t>3.5 音频预处理</w:t>
      </w:r>
    </w:p>
    <w:p>
      <w:pPr>
        <w:spacing w:line="360" w:lineRule="auto" w:after="60"/>
        <w:ind w:firstLine="480"/>
      </w:pPr>
      <w:r>
        <w:rPr>
          <w:rFonts w:ascii="宋体" w:hAnsi="宋体" w:eastAsia="宋体"/>
          <w:b w:val="0"/>
          <w:color w:val="000000"/>
          <w:sz w:val="24"/>
        </w:rPr>
        <w:t>所有音频输入都会统一为单声道 16kHz。统一采样率是语音模型输入稳定的前提。如果采样率不一致，同一秒语音对应的采样点数量不同，模型输入尺度会变化。单声道处理可以减少左右声道差异，使模型更关注语音内容本身。</w:t>
      </w:r>
    </w:p>
    <w:p>
      <w:pPr>
        <w:spacing w:line="360" w:lineRule="auto" w:after="60"/>
        <w:ind w:firstLine="480"/>
      </w:pPr>
      <w:r>
        <w:rPr>
          <w:rFonts w:ascii="宋体" w:hAnsi="宋体" w:eastAsia="宋体"/>
          <w:b w:val="0"/>
          <w:color w:val="000000"/>
          <w:sz w:val="24"/>
        </w:rPr>
        <w:t>项目采用 10 秒固定窗口。短音频会补齐到窗口长度，长音频按 5 秒步长切成多个重叠窗口。重叠切分可以减少重要语音信息落在窗口边界时被截断的问题。多个窗口分别预测后再融合概率，可以让长音频判断更加稳定。</w:t>
      </w:r>
    </w:p>
    <w:p>
      <w:pPr>
        <w:spacing w:line="360" w:lineRule="auto" w:after="60"/>
        <w:ind w:firstLine="480"/>
      </w:pPr>
      <w:r>
        <w:rPr>
          <w:rFonts w:ascii="宋体" w:hAnsi="宋体" w:eastAsia="宋体"/>
          <w:b w:val="0"/>
          <w:color w:val="000000"/>
          <w:sz w:val="24"/>
        </w:rPr>
        <w:t>训练阶段使用随机裁剪，评估和推理阶段使用确定性窗口。这样既能在训练中增加样本变化，又能保证测试结果可复现。</w:t>
      </w:r>
    </w:p>
    <w:p>
      <w:pPr>
        <w:spacing w:before="120" w:after="80"/>
      </w:pPr>
      <w:r>
        <w:rPr>
          <w:rFonts w:ascii="黑体" w:hAnsi="黑体" w:eastAsia="黑体"/>
          <w:b/>
          <w:color w:val="000000"/>
          <w:sz w:val="24"/>
        </w:rPr>
        <w:t>3.6 数据增强</w:t>
      </w:r>
    </w:p>
    <w:p>
      <w:pPr>
        <w:spacing w:line="360" w:lineRule="auto" w:after="60"/>
        <w:ind w:firstLine="480"/>
      </w:pPr>
      <w:r>
        <w:rPr>
          <w:rFonts w:ascii="宋体" w:hAnsi="宋体" w:eastAsia="宋体"/>
          <w:b w:val="0"/>
          <w:color w:val="000000"/>
          <w:sz w:val="24"/>
        </w:rPr>
        <w:t>训练阶段加入轻量数据增强。音量扰动用于模拟不同录音距离和设备音量差异；时间平移用于模拟说话开始位置不同；轻微噪声用于模拟背景环境；随机裁剪用于避免模型只记住固定片段。</w:t>
      </w:r>
    </w:p>
    <w:p>
      <w:pPr>
        <w:spacing w:line="360" w:lineRule="auto" w:after="60"/>
        <w:ind w:firstLine="480"/>
      </w:pPr>
      <w:r>
        <w:rPr>
          <w:rFonts w:ascii="宋体" w:hAnsi="宋体" w:eastAsia="宋体"/>
          <w:b w:val="0"/>
          <w:color w:val="000000"/>
          <w:sz w:val="24"/>
        </w:rPr>
        <w:t>这些增强方法不会改变语音本身的语种标签，但可以让模型见到更多输入变化，从而提高鲁棒性。推理阶段不会使用随机增强，保证用户同一段音频多次识别结果稳定。</w:t>
      </w:r>
    </w:p>
    <w:p>
      <w:pPr>
        <w:spacing w:before="120" w:after="80"/>
      </w:pPr>
      <w:r>
        <w:rPr>
          <w:rFonts w:ascii="黑体" w:hAnsi="黑体" w:eastAsia="黑体"/>
          <w:b/>
          <w:color w:val="000000"/>
          <w:sz w:val="24"/>
        </w:rPr>
        <w:t>3.7 域适配</w:t>
      </w:r>
    </w:p>
    <w:p>
      <w:pPr>
        <w:spacing w:line="360" w:lineRule="auto" w:after="60"/>
        <w:ind w:firstLine="480"/>
      </w:pPr>
      <w:r>
        <w:rPr>
          <w:rFonts w:ascii="宋体" w:hAnsi="宋体" w:eastAsia="宋体"/>
          <w:b w:val="0"/>
          <w:color w:val="000000"/>
          <w:sz w:val="24"/>
        </w:rPr>
        <w:t>只使用单一数据集训练时，模型可能学到数据集本身的特点，而不是稳定的语种特征。为了解决这个问题，项目引入 VoxLingua107 数据进行域适配。该数据更接近真实网络语音，说话人、录音环境和音质变化更多。</w:t>
      </w:r>
    </w:p>
    <w:p>
      <w:pPr>
        <w:spacing w:line="360" w:lineRule="auto" w:after="60"/>
        <w:ind w:firstLine="480"/>
      </w:pPr>
      <w:r>
        <w:rPr>
          <w:rFonts w:ascii="宋体" w:hAnsi="宋体" w:eastAsia="宋体"/>
          <w:b w:val="0"/>
          <w:color w:val="000000"/>
          <w:sz w:val="24"/>
        </w:rPr>
        <w:t>通过在训练和验证中加入一部分外部域数据，模型能提前接触不同来源的语音，降低面对外部测试集时性能下降的风险。最终外部测试准确率达到 99.29%，说明域适配对提升泛化能力起到了明显作用。</w:t>
      </w:r>
    </w:p>
    <w:p>
      <w:pPr>
        <w:spacing w:before="120" w:after="80"/>
      </w:pPr>
      <w:r>
        <w:rPr>
          <w:rFonts w:ascii="黑体" w:hAnsi="黑体" w:eastAsia="黑体"/>
          <w:b/>
          <w:color w:val="000000"/>
          <w:sz w:val="24"/>
        </w:rPr>
        <w:t>3.8 训练参数设置</w:t>
      </w:r>
    </w:p>
    <w:p>
      <w:pPr>
        <w:spacing w:line="360" w:lineRule="auto" w:after="60"/>
        <w:ind w:firstLine="480"/>
      </w:pPr>
      <w:r>
        <w:rPr>
          <w:rFonts w:ascii="宋体" w:hAnsi="宋体" w:eastAsia="宋体"/>
          <w:b w:val="0"/>
          <w:color w:val="000000"/>
          <w:sz w:val="24"/>
        </w:rPr>
        <w:t>当前训练最多 8 个轮次，窗口长度为 10 秒，窗口步长为 5 秒。由于 OWSM v4 模型较大，实际批大小设置为 1，并采用 8 步梯度累积，使参数更新更稳定。学习率为 1e-4，权重衰减为 1e-2，标签平滑为 0.08，最大梯度范数为 1.0。</w:t>
      </w:r>
    </w:p>
    <w:p>
      <w:pPr>
        <w:spacing w:line="360" w:lineRule="auto" w:after="60"/>
        <w:ind w:firstLine="480"/>
      </w:pPr>
      <w:r>
        <w:rPr>
          <w:rFonts w:ascii="宋体" w:hAnsi="宋体" w:eastAsia="宋体"/>
          <w:b w:val="0"/>
          <w:color w:val="000000"/>
          <w:sz w:val="24"/>
        </w:rPr>
        <w:t>学习率调度根据验证集表现自动调整，如果验证集不再提升，学习率会降低。早停策略用于避免训练过久导致过拟合。项目还保存最佳模型和训练断点，训练中断后可以从上一个完整轮次继续。</w:t>
      </w:r>
    </w:p>
    <w:p>
      <w:pPr>
        <w:spacing w:before="200" w:after="120"/>
      </w:pPr>
      <w:r>
        <w:rPr>
          <w:rFonts w:ascii="黑体" w:hAnsi="黑体" w:eastAsia="黑体"/>
          <w:b/>
          <w:color w:val="000000"/>
          <w:sz w:val="28"/>
        </w:rPr>
        <w:t>4 实现效果及分析</w:t>
      </w:r>
    </w:p>
    <w:p>
      <w:pPr>
        <w:spacing w:before="120" w:after="80"/>
      </w:pPr>
      <w:r>
        <w:rPr>
          <w:rFonts w:ascii="黑体" w:hAnsi="黑体" w:eastAsia="黑体"/>
          <w:b/>
          <w:color w:val="000000"/>
          <w:sz w:val="24"/>
        </w:rPr>
        <w:t>4.1 数据集使用情况</w:t>
      </w:r>
    </w:p>
    <w:p>
      <w:pPr>
        <w:spacing w:line="360" w:lineRule="auto" w:after="60"/>
        <w:ind w:firstLine="480"/>
      </w:pPr>
      <w:r>
        <w:rPr>
          <w:rFonts w:ascii="宋体" w:hAnsi="宋体" w:eastAsia="宋体"/>
          <w:b w:val="0"/>
          <w:color w:val="000000"/>
          <w:sz w:val="24"/>
        </w:rPr>
        <w:t>项目使用 FLEURS 和 VoxLingua107 两类公开数据。FLEURS 数据用于基础训练和同源测试，VoxLingua107 数据用于域适配和外部泛化测试。这样可以避免只在单一数据集上评价模型。</w:t>
      </w:r>
    </w:p>
    <w:p>
      <w:pPr>
        <w:jc w:val="center"/>
      </w:pPr>
      <w:r>
        <w:rPr>
          <w:rFonts w:ascii="黑体" w:hAnsi="黑体" w:eastAsia="黑体"/>
          <w:b/>
          <w:color w:val="000000"/>
          <w:sz w:val="18"/>
        </w:rPr>
        <w:t>表1 数据集使用情况</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shd w:fill="D9EAF7"/>
          </w:tcPr>
          <w:p>
            <w:pPr>
              <w:jc w:val="center"/>
            </w:pPr>
            <w:r/>
            <w:r>
              <w:rPr>
                <w:rFonts w:ascii="宋体" w:hAnsi="宋体" w:eastAsia="宋体"/>
                <w:b/>
                <w:color w:val="000000"/>
                <w:sz w:val="18"/>
              </w:rPr>
              <w:t>数据来源</w:t>
            </w:r>
          </w:p>
        </w:tc>
        <w:tc>
          <w:tcPr>
            <w:tcW w:type="dxa" w:w="2340"/>
            <w:vAlign w:val="center"/>
            <w:shd w:fill="D9EAF7"/>
          </w:tcPr>
          <w:p>
            <w:pPr>
              <w:jc w:val="center"/>
            </w:pPr>
            <w:r/>
            <w:r>
              <w:rPr>
                <w:rFonts w:ascii="宋体" w:hAnsi="宋体" w:eastAsia="宋体"/>
                <w:b/>
                <w:color w:val="000000"/>
                <w:sz w:val="18"/>
              </w:rPr>
              <w:t>用途</w:t>
            </w:r>
          </w:p>
        </w:tc>
        <w:tc>
          <w:tcPr>
            <w:tcW w:type="dxa" w:w="2340"/>
            <w:vAlign w:val="center"/>
            <w:shd w:fill="D9EAF7"/>
          </w:tcPr>
          <w:p>
            <w:pPr>
              <w:jc w:val="center"/>
            </w:pPr>
            <w:r/>
            <w:r>
              <w:rPr>
                <w:rFonts w:ascii="宋体" w:hAnsi="宋体" w:eastAsia="宋体"/>
                <w:b/>
                <w:color w:val="000000"/>
                <w:sz w:val="18"/>
              </w:rPr>
              <w:t>语种范围</w:t>
            </w:r>
          </w:p>
        </w:tc>
        <w:tc>
          <w:tcPr>
            <w:tcW w:type="dxa" w:w="2340"/>
            <w:vAlign w:val="center"/>
            <w:shd w:fill="D9EAF7"/>
          </w:tcPr>
          <w:p>
            <w:pPr>
              <w:jc w:val="center"/>
            </w:pPr>
            <w:r/>
            <w:r>
              <w:rPr>
                <w:rFonts w:ascii="宋体" w:hAnsi="宋体" w:eastAsia="宋体"/>
                <w:b/>
                <w:color w:val="000000"/>
                <w:sz w:val="18"/>
              </w:rPr>
              <w:t>样本规模</w:t>
            </w:r>
          </w:p>
        </w:tc>
      </w:tr>
      <w:tr>
        <w:tc>
          <w:tcPr>
            <w:tcW w:type="dxa" w:w="2340"/>
            <w:vAlign w:val="center"/>
          </w:tcPr>
          <w:p>
            <w:pPr>
              <w:jc w:val="center"/>
            </w:pPr>
            <w:r/>
            <w:r>
              <w:rPr>
                <w:rFonts w:ascii="宋体" w:hAnsi="宋体" w:eastAsia="宋体"/>
                <w:b w:val="0"/>
                <w:color w:val="000000"/>
                <w:sz w:val="18"/>
              </w:rPr>
              <w:t>FLEURS 五语种子集</w:t>
            </w:r>
          </w:p>
        </w:tc>
        <w:tc>
          <w:tcPr>
            <w:tcW w:type="dxa" w:w="2340"/>
            <w:vAlign w:val="center"/>
          </w:tcPr>
          <w:p>
            <w:pPr>
              <w:jc w:val="center"/>
            </w:pPr>
            <w:r/>
            <w:r>
              <w:rPr>
                <w:rFonts w:ascii="宋体" w:hAnsi="宋体" w:eastAsia="宋体"/>
                <w:b w:val="0"/>
                <w:color w:val="000000"/>
                <w:sz w:val="18"/>
              </w:rPr>
              <w:t>基础训练、验证、同源测试</w:t>
            </w:r>
          </w:p>
        </w:tc>
        <w:tc>
          <w:tcPr>
            <w:tcW w:type="dxa" w:w="2340"/>
            <w:vAlign w:val="center"/>
          </w:tcPr>
          <w:p>
            <w:pPr>
              <w:jc w:val="center"/>
            </w:pPr>
            <w:r/>
            <w:r>
              <w:rPr>
                <w:rFonts w:ascii="宋体" w:hAnsi="宋体" w:eastAsia="宋体"/>
                <w:b w:val="0"/>
                <w:color w:val="000000"/>
                <w:sz w:val="18"/>
              </w:rPr>
              <w:t>中文、英文、法语、日语、韩语</w:t>
            </w:r>
          </w:p>
        </w:tc>
        <w:tc>
          <w:tcPr>
            <w:tcW w:type="dxa" w:w="2340"/>
            <w:vAlign w:val="center"/>
          </w:tcPr>
          <w:p>
            <w:pPr>
              <w:jc w:val="center"/>
            </w:pPr>
            <w:r/>
            <w:r>
              <w:rPr>
                <w:rFonts w:ascii="宋体" w:hAnsi="宋体" w:eastAsia="宋体"/>
                <w:b w:val="0"/>
                <w:color w:val="000000"/>
                <w:sz w:val="18"/>
              </w:rPr>
              <w:t>内部测试 750 条，每类 150 条</w:t>
            </w:r>
          </w:p>
        </w:tc>
      </w:tr>
      <w:tr>
        <w:tc>
          <w:tcPr>
            <w:tcW w:type="dxa" w:w="2340"/>
            <w:vAlign w:val="center"/>
          </w:tcPr>
          <w:p>
            <w:pPr>
              <w:jc w:val="center"/>
            </w:pPr>
            <w:r/>
            <w:r>
              <w:rPr>
                <w:rFonts w:ascii="宋体" w:hAnsi="宋体" w:eastAsia="宋体"/>
                <w:b w:val="0"/>
                <w:color w:val="000000"/>
                <w:sz w:val="18"/>
              </w:rPr>
              <w:t>VoxLingua107 训练/验证切分</w:t>
            </w:r>
          </w:p>
        </w:tc>
        <w:tc>
          <w:tcPr>
            <w:tcW w:type="dxa" w:w="2340"/>
            <w:vAlign w:val="center"/>
          </w:tcPr>
          <w:p>
            <w:pPr>
              <w:jc w:val="center"/>
            </w:pPr>
            <w:r/>
            <w:r>
              <w:rPr>
                <w:rFonts w:ascii="宋体" w:hAnsi="宋体" w:eastAsia="宋体"/>
                <w:b w:val="0"/>
                <w:color w:val="000000"/>
                <w:sz w:val="18"/>
              </w:rPr>
              <w:t>域适配训练与验证</w:t>
            </w:r>
          </w:p>
        </w:tc>
        <w:tc>
          <w:tcPr>
            <w:tcW w:type="dxa" w:w="2340"/>
            <w:vAlign w:val="center"/>
          </w:tcPr>
          <w:p>
            <w:pPr>
              <w:jc w:val="center"/>
            </w:pPr>
            <w:r/>
            <w:r>
              <w:rPr>
                <w:rFonts w:ascii="宋体" w:hAnsi="宋体" w:eastAsia="宋体"/>
                <w:b w:val="0"/>
                <w:color w:val="000000"/>
                <w:sz w:val="18"/>
              </w:rPr>
              <w:t>同上</w:t>
            </w:r>
          </w:p>
        </w:tc>
        <w:tc>
          <w:tcPr>
            <w:tcW w:type="dxa" w:w="2340"/>
            <w:vAlign w:val="center"/>
          </w:tcPr>
          <w:p>
            <w:pPr>
              <w:jc w:val="center"/>
            </w:pPr>
            <w:r/>
            <w:r>
              <w:rPr>
                <w:rFonts w:ascii="宋体" w:hAnsi="宋体" w:eastAsia="宋体"/>
                <w:b w:val="0"/>
                <w:color w:val="000000"/>
                <w:sz w:val="18"/>
              </w:rPr>
              <w:t>每类最多 200 条训练、100 条验证</w:t>
            </w:r>
          </w:p>
        </w:tc>
      </w:tr>
      <w:tr>
        <w:tc>
          <w:tcPr>
            <w:tcW w:type="dxa" w:w="2340"/>
            <w:vAlign w:val="center"/>
          </w:tcPr>
          <w:p>
            <w:pPr>
              <w:jc w:val="center"/>
            </w:pPr>
            <w:r/>
            <w:r>
              <w:rPr>
                <w:rFonts w:ascii="宋体" w:hAnsi="宋体" w:eastAsia="宋体"/>
                <w:b w:val="0"/>
                <w:color w:val="000000"/>
                <w:sz w:val="18"/>
              </w:rPr>
              <w:t>VoxLingua107 保留测试切分</w:t>
            </w:r>
          </w:p>
        </w:tc>
        <w:tc>
          <w:tcPr>
            <w:tcW w:type="dxa" w:w="2340"/>
            <w:vAlign w:val="center"/>
          </w:tcPr>
          <w:p>
            <w:pPr>
              <w:jc w:val="center"/>
            </w:pPr>
            <w:r/>
            <w:r>
              <w:rPr>
                <w:rFonts w:ascii="宋体" w:hAnsi="宋体" w:eastAsia="宋体"/>
                <w:b w:val="0"/>
                <w:color w:val="000000"/>
                <w:sz w:val="18"/>
              </w:rPr>
              <w:t>外部泛化测试</w:t>
            </w:r>
          </w:p>
        </w:tc>
        <w:tc>
          <w:tcPr>
            <w:tcW w:type="dxa" w:w="2340"/>
            <w:vAlign w:val="center"/>
          </w:tcPr>
          <w:p>
            <w:pPr>
              <w:jc w:val="center"/>
            </w:pPr>
            <w:r/>
            <w:r>
              <w:rPr>
                <w:rFonts w:ascii="宋体" w:hAnsi="宋体" w:eastAsia="宋体"/>
                <w:b w:val="0"/>
                <w:color w:val="000000"/>
                <w:sz w:val="18"/>
              </w:rPr>
              <w:t>同上</w:t>
            </w:r>
          </w:p>
        </w:tc>
        <w:tc>
          <w:tcPr>
            <w:tcW w:type="dxa" w:w="2340"/>
            <w:vAlign w:val="center"/>
          </w:tcPr>
          <w:p>
            <w:pPr>
              <w:jc w:val="center"/>
            </w:pPr>
            <w:r/>
            <w:r>
              <w:rPr>
                <w:rFonts w:ascii="宋体" w:hAnsi="宋体" w:eastAsia="宋体"/>
                <w:b w:val="0"/>
                <w:color w:val="000000"/>
                <w:sz w:val="18"/>
              </w:rPr>
              <w:t>10000 条，每类 2000 条</w:t>
            </w:r>
          </w:p>
        </w:tc>
      </w:tr>
    </w:tbl>
    <w:p>
      <w:pPr>
        <w:spacing w:before="120" w:after="80"/>
      </w:pPr>
      <w:r>
        <w:rPr>
          <w:rFonts w:ascii="黑体" w:hAnsi="黑体" w:eastAsia="黑体"/>
          <w:b/>
          <w:color w:val="000000"/>
          <w:sz w:val="24"/>
        </w:rPr>
        <w:t>4.2 内部测试结果</w:t>
      </w:r>
    </w:p>
    <w:p>
      <w:pPr>
        <w:spacing w:line="360" w:lineRule="auto" w:after="60"/>
        <w:ind w:firstLine="480"/>
      </w:pPr>
      <w:r>
        <w:rPr>
          <w:rFonts w:ascii="宋体" w:hAnsi="宋体" w:eastAsia="宋体"/>
          <w:b w:val="0"/>
          <w:color w:val="000000"/>
          <w:sz w:val="24"/>
        </w:rPr>
        <w:t>内部测试集共 750 条语音，每个语种 150 条。模型在该测试集上的准确率为 100.00%，五个语种的精确率、召回率和 F1 值均为 1.0000。这说明模型在同源测试条件下已经能够稳定区分五个目标语种。</w:t>
      </w:r>
    </w:p>
    <w:p>
      <w:pPr>
        <w:jc w:val="center"/>
      </w:pPr>
      <w:r>
        <w:rPr>
          <w:rFonts w:ascii="黑体" w:hAnsi="黑体" w:eastAsia="黑体"/>
          <w:b/>
          <w:color w:val="000000"/>
          <w:sz w:val="18"/>
        </w:rPr>
        <w:t>表2 内部测试分类指标</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F7"/>
          </w:tcPr>
          <w:p>
            <w:pPr>
              <w:jc w:val="center"/>
            </w:pPr>
            <w:r/>
            <w:r>
              <w:rPr>
                <w:rFonts w:ascii="宋体" w:hAnsi="宋体" w:eastAsia="宋体"/>
                <w:b/>
                <w:color w:val="000000"/>
                <w:sz w:val="18"/>
              </w:rPr>
              <w:t>语种</w:t>
            </w:r>
          </w:p>
        </w:tc>
        <w:tc>
          <w:tcPr>
            <w:tcW w:type="dxa" w:w="1872"/>
            <w:vAlign w:val="center"/>
            <w:shd w:fill="D9EAF7"/>
          </w:tcPr>
          <w:p>
            <w:pPr>
              <w:jc w:val="center"/>
            </w:pPr>
            <w:r/>
            <w:r>
              <w:rPr>
                <w:rFonts w:ascii="宋体" w:hAnsi="宋体" w:eastAsia="宋体"/>
                <w:b/>
                <w:color w:val="000000"/>
                <w:sz w:val="18"/>
              </w:rPr>
              <w:t>Precision</w:t>
            </w:r>
          </w:p>
        </w:tc>
        <w:tc>
          <w:tcPr>
            <w:tcW w:type="dxa" w:w="1872"/>
            <w:vAlign w:val="center"/>
            <w:shd w:fill="D9EAF7"/>
          </w:tcPr>
          <w:p>
            <w:pPr>
              <w:jc w:val="center"/>
            </w:pPr>
            <w:r/>
            <w:r>
              <w:rPr>
                <w:rFonts w:ascii="宋体" w:hAnsi="宋体" w:eastAsia="宋体"/>
                <w:b/>
                <w:color w:val="000000"/>
                <w:sz w:val="18"/>
              </w:rPr>
              <w:t>Recall</w:t>
            </w:r>
          </w:p>
        </w:tc>
        <w:tc>
          <w:tcPr>
            <w:tcW w:type="dxa" w:w="1872"/>
            <w:vAlign w:val="center"/>
            <w:shd w:fill="D9EAF7"/>
          </w:tcPr>
          <w:p>
            <w:pPr>
              <w:jc w:val="center"/>
            </w:pPr>
            <w:r/>
            <w:r>
              <w:rPr>
                <w:rFonts w:ascii="宋体" w:hAnsi="宋体" w:eastAsia="宋体"/>
                <w:b/>
                <w:color w:val="000000"/>
                <w:sz w:val="18"/>
              </w:rPr>
              <w:t>F1-score</w:t>
            </w:r>
          </w:p>
        </w:tc>
        <w:tc>
          <w:tcPr>
            <w:tcW w:type="dxa" w:w="1872"/>
            <w:vAlign w:val="center"/>
            <w:shd w:fill="D9EAF7"/>
          </w:tcPr>
          <w:p>
            <w:pPr>
              <w:jc w:val="center"/>
            </w:pPr>
            <w:r/>
            <w:r>
              <w:rPr>
                <w:rFonts w:ascii="宋体" w:hAnsi="宋体" w:eastAsia="宋体"/>
                <w:b/>
                <w:color w:val="000000"/>
                <w:sz w:val="18"/>
              </w:rPr>
              <w:t>Support</w:t>
            </w:r>
          </w:p>
        </w:tc>
      </w:tr>
      <w:tr>
        <w:tc>
          <w:tcPr>
            <w:tcW w:type="dxa" w:w="1872"/>
            <w:vAlign w:val="center"/>
          </w:tcPr>
          <w:p>
            <w:pPr>
              <w:jc w:val="center"/>
            </w:pPr>
            <w:r/>
            <w:r>
              <w:rPr>
                <w:rFonts w:ascii="宋体" w:hAnsi="宋体" w:eastAsia="宋体"/>
                <w:b w:val="0"/>
                <w:color w:val="000000"/>
                <w:sz w:val="18"/>
              </w:rPr>
              <w:t>Chinese</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150</w:t>
            </w:r>
          </w:p>
        </w:tc>
      </w:tr>
      <w:tr>
        <w:tc>
          <w:tcPr>
            <w:tcW w:type="dxa" w:w="1872"/>
            <w:vAlign w:val="center"/>
          </w:tcPr>
          <w:p>
            <w:pPr>
              <w:jc w:val="center"/>
            </w:pPr>
            <w:r/>
            <w:r>
              <w:rPr>
                <w:rFonts w:ascii="宋体" w:hAnsi="宋体" w:eastAsia="宋体"/>
                <w:b w:val="0"/>
                <w:color w:val="000000"/>
                <w:sz w:val="18"/>
              </w:rPr>
              <w:t>English</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150</w:t>
            </w:r>
          </w:p>
        </w:tc>
      </w:tr>
      <w:tr>
        <w:tc>
          <w:tcPr>
            <w:tcW w:type="dxa" w:w="1872"/>
            <w:vAlign w:val="center"/>
          </w:tcPr>
          <w:p>
            <w:pPr>
              <w:jc w:val="center"/>
            </w:pPr>
            <w:r/>
            <w:r>
              <w:rPr>
                <w:rFonts w:ascii="宋体" w:hAnsi="宋体" w:eastAsia="宋体"/>
                <w:b w:val="0"/>
                <w:color w:val="000000"/>
                <w:sz w:val="18"/>
              </w:rPr>
              <w:t>French</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150</w:t>
            </w:r>
          </w:p>
        </w:tc>
      </w:tr>
      <w:tr>
        <w:tc>
          <w:tcPr>
            <w:tcW w:type="dxa" w:w="1872"/>
            <w:vAlign w:val="center"/>
          </w:tcPr>
          <w:p>
            <w:pPr>
              <w:jc w:val="center"/>
            </w:pPr>
            <w:r/>
            <w:r>
              <w:rPr>
                <w:rFonts w:ascii="宋体" w:hAnsi="宋体" w:eastAsia="宋体"/>
                <w:b w:val="0"/>
                <w:color w:val="000000"/>
                <w:sz w:val="18"/>
              </w:rPr>
              <w:t>Japanese</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150</w:t>
            </w:r>
          </w:p>
        </w:tc>
      </w:tr>
      <w:tr>
        <w:tc>
          <w:tcPr>
            <w:tcW w:type="dxa" w:w="1872"/>
            <w:vAlign w:val="center"/>
          </w:tcPr>
          <w:p>
            <w:pPr>
              <w:jc w:val="center"/>
            </w:pPr>
            <w:r/>
            <w:r>
              <w:rPr>
                <w:rFonts w:ascii="宋体" w:hAnsi="宋体" w:eastAsia="宋体"/>
                <w:b w:val="0"/>
                <w:color w:val="000000"/>
                <w:sz w:val="18"/>
              </w:rPr>
              <w:t>Korean</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150</w:t>
            </w:r>
          </w:p>
        </w:tc>
      </w:tr>
      <w:tr>
        <w:tc>
          <w:tcPr>
            <w:tcW w:type="dxa" w:w="1872"/>
            <w:vAlign w:val="center"/>
          </w:tcPr>
          <w:p>
            <w:pPr>
              <w:jc w:val="center"/>
            </w:pPr>
            <w:r/>
            <w:r>
              <w:rPr>
                <w:rFonts w:ascii="宋体" w:hAnsi="宋体" w:eastAsia="宋体"/>
                <w:b w:val="0"/>
                <w:color w:val="000000"/>
                <w:sz w:val="18"/>
              </w:rPr>
              <w:t>总体</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1.0000</w:t>
            </w:r>
          </w:p>
        </w:tc>
        <w:tc>
          <w:tcPr>
            <w:tcW w:type="dxa" w:w="1872"/>
            <w:vAlign w:val="center"/>
          </w:tcPr>
          <w:p>
            <w:pPr>
              <w:jc w:val="center"/>
            </w:pPr>
            <w:r/>
            <w:r>
              <w:rPr>
                <w:rFonts w:ascii="宋体" w:hAnsi="宋体" w:eastAsia="宋体"/>
                <w:b w:val="0"/>
                <w:color w:val="000000"/>
                <w:sz w:val="18"/>
              </w:rPr>
              <w:t>750</w:t>
            </w:r>
          </w:p>
        </w:tc>
      </w:tr>
    </w:tbl>
    <w:p>
      <w:pPr>
        <w:jc w:val="center"/>
      </w:pPr>
      <w:r>
        <w:drawing>
          <wp:inline xmlns:a="http://schemas.openxmlformats.org/drawingml/2006/main" xmlns:pic="http://schemas.openxmlformats.org/drawingml/2006/picture">
            <wp:extent cx="5120640" cy="3840480"/>
            <wp:docPr id="1" name="Picture 1"/>
            <wp:cNvGraphicFramePr>
              <a:graphicFrameLocks noChangeAspect="1"/>
            </wp:cNvGraphicFramePr>
            <a:graphic>
              <a:graphicData uri="http://schemas.openxmlformats.org/drawingml/2006/picture">
                <pic:pic>
                  <pic:nvPicPr>
                    <pic:cNvPr id="0" name="owsm_adapter_confusion_matrix.png"/>
                    <pic:cNvPicPr/>
                  </pic:nvPicPr>
                  <pic:blipFill>
                    <a:blip r:embed="rId9"/>
                    <a:stretch>
                      <a:fillRect/>
                    </a:stretch>
                  </pic:blipFill>
                  <pic:spPr>
                    <a:xfrm>
                      <a:off x="0" y="0"/>
                      <a:ext cx="5120640" cy="3840480"/>
                    </a:xfrm>
                    <a:prstGeom prst="rect"/>
                  </pic:spPr>
                </pic:pic>
              </a:graphicData>
            </a:graphic>
          </wp:inline>
        </w:drawing>
      </w:r>
    </w:p>
    <w:p>
      <w:pPr>
        <w:jc w:val="center"/>
      </w:pPr>
      <w:r>
        <w:rPr>
          <w:rFonts w:ascii="宋体" w:hAnsi="宋体" w:eastAsia="宋体"/>
          <w:b w:val="0"/>
          <w:color w:val="000000"/>
          <w:sz w:val="18"/>
        </w:rPr>
        <w:t>图1 内部测试集混淆矩阵</w:t>
      </w:r>
    </w:p>
    <w:p>
      <w:pPr>
        <w:spacing w:before="120" w:after="80"/>
      </w:pPr>
      <w:r>
        <w:rPr>
          <w:rFonts w:ascii="黑体" w:hAnsi="黑体" w:eastAsia="黑体"/>
          <w:b/>
          <w:color w:val="000000"/>
          <w:sz w:val="24"/>
        </w:rPr>
        <w:t>4.3 外部测试结果</w:t>
      </w:r>
    </w:p>
    <w:p>
      <w:pPr>
        <w:spacing w:line="360" w:lineRule="auto" w:after="60"/>
        <w:ind w:firstLine="480"/>
      </w:pPr>
      <w:r>
        <w:rPr>
          <w:rFonts w:ascii="宋体" w:hAnsi="宋体" w:eastAsia="宋体"/>
          <w:b w:val="0"/>
          <w:color w:val="000000"/>
          <w:sz w:val="24"/>
        </w:rPr>
        <w:t>外部测试使用 VoxLingua107 保留测试切分，共 10000 条语音，每个语种 2000 条。模型总体准确率为 99.29%，宏平均 F1 值为 0.9929。该测试结果比单纯内部测试更能说明模型是否具备跨数据集泛化能力。</w:t>
      </w:r>
    </w:p>
    <w:p>
      <w:pPr>
        <w:jc w:val="center"/>
      </w:pPr>
      <w:r>
        <w:rPr>
          <w:rFonts w:ascii="黑体" w:hAnsi="黑体" w:eastAsia="黑体"/>
          <w:b/>
          <w:color w:val="000000"/>
          <w:sz w:val="18"/>
        </w:rPr>
        <w:t>表3 VoxLingua107 外部测试分类指标</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shd w:fill="D9EAF7"/>
          </w:tcPr>
          <w:p>
            <w:pPr>
              <w:jc w:val="center"/>
            </w:pPr>
            <w:r/>
            <w:r>
              <w:rPr>
                <w:rFonts w:ascii="宋体" w:hAnsi="宋体" w:eastAsia="宋体"/>
                <w:b/>
                <w:color w:val="000000"/>
                <w:sz w:val="18"/>
              </w:rPr>
              <w:t>语种</w:t>
            </w:r>
          </w:p>
        </w:tc>
        <w:tc>
          <w:tcPr>
            <w:tcW w:type="dxa" w:w="1872"/>
            <w:vAlign w:val="center"/>
            <w:shd w:fill="D9EAF7"/>
          </w:tcPr>
          <w:p>
            <w:pPr>
              <w:jc w:val="center"/>
            </w:pPr>
            <w:r/>
            <w:r>
              <w:rPr>
                <w:rFonts w:ascii="宋体" w:hAnsi="宋体" w:eastAsia="宋体"/>
                <w:b/>
                <w:color w:val="000000"/>
                <w:sz w:val="18"/>
              </w:rPr>
              <w:t>Precision</w:t>
            </w:r>
          </w:p>
        </w:tc>
        <w:tc>
          <w:tcPr>
            <w:tcW w:type="dxa" w:w="1872"/>
            <w:vAlign w:val="center"/>
            <w:shd w:fill="D9EAF7"/>
          </w:tcPr>
          <w:p>
            <w:pPr>
              <w:jc w:val="center"/>
            </w:pPr>
            <w:r/>
            <w:r>
              <w:rPr>
                <w:rFonts w:ascii="宋体" w:hAnsi="宋体" w:eastAsia="宋体"/>
                <w:b/>
                <w:color w:val="000000"/>
                <w:sz w:val="18"/>
              </w:rPr>
              <w:t>Recall</w:t>
            </w:r>
          </w:p>
        </w:tc>
        <w:tc>
          <w:tcPr>
            <w:tcW w:type="dxa" w:w="1872"/>
            <w:vAlign w:val="center"/>
            <w:shd w:fill="D9EAF7"/>
          </w:tcPr>
          <w:p>
            <w:pPr>
              <w:jc w:val="center"/>
            </w:pPr>
            <w:r/>
            <w:r>
              <w:rPr>
                <w:rFonts w:ascii="宋体" w:hAnsi="宋体" w:eastAsia="宋体"/>
                <w:b/>
                <w:color w:val="000000"/>
                <w:sz w:val="18"/>
              </w:rPr>
              <w:t>F1-score</w:t>
            </w:r>
          </w:p>
        </w:tc>
        <w:tc>
          <w:tcPr>
            <w:tcW w:type="dxa" w:w="1872"/>
            <w:vAlign w:val="center"/>
            <w:shd w:fill="D9EAF7"/>
          </w:tcPr>
          <w:p>
            <w:pPr>
              <w:jc w:val="center"/>
            </w:pPr>
            <w:r/>
            <w:r>
              <w:rPr>
                <w:rFonts w:ascii="宋体" w:hAnsi="宋体" w:eastAsia="宋体"/>
                <w:b/>
                <w:color w:val="000000"/>
                <w:sz w:val="18"/>
              </w:rPr>
              <w:t>Support</w:t>
            </w:r>
          </w:p>
        </w:tc>
      </w:tr>
      <w:tr>
        <w:tc>
          <w:tcPr>
            <w:tcW w:type="dxa" w:w="1872"/>
            <w:vAlign w:val="center"/>
          </w:tcPr>
          <w:p>
            <w:pPr>
              <w:jc w:val="center"/>
            </w:pPr>
            <w:r/>
            <w:r>
              <w:rPr>
                <w:rFonts w:ascii="宋体" w:hAnsi="宋体" w:eastAsia="宋体"/>
                <w:b w:val="0"/>
                <w:color w:val="000000"/>
                <w:sz w:val="18"/>
              </w:rPr>
              <w:t>Chinese</w:t>
            </w:r>
          </w:p>
        </w:tc>
        <w:tc>
          <w:tcPr>
            <w:tcW w:type="dxa" w:w="1872"/>
            <w:vAlign w:val="center"/>
          </w:tcPr>
          <w:p>
            <w:pPr>
              <w:jc w:val="center"/>
            </w:pPr>
            <w:r/>
            <w:r>
              <w:rPr>
                <w:rFonts w:ascii="宋体" w:hAnsi="宋体" w:eastAsia="宋体"/>
                <w:b w:val="0"/>
                <w:color w:val="000000"/>
                <w:sz w:val="18"/>
              </w:rPr>
              <w:t>0.9940</w:t>
            </w:r>
          </w:p>
        </w:tc>
        <w:tc>
          <w:tcPr>
            <w:tcW w:type="dxa" w:w="1872"/>
            <w:vAlign w:val="center"/>
          </w:tcPr>
          <w:p>
            <w:pPr>
              <w:jc w:val="center"/>
            </w:pPr>
            <w:r/>
            <w:r>
              <w:rPr>
                <w:rFonts w:ascii="宋体" w:hAnsi="宋体" w:eastAsia="宋体"/>
                <w:b w:val="0"/>
                <w:color w:val="000000"/>
                <w:sz w:val="18"/>
              </w:rPr>
              <w:t>0.9880</w:t>
            </w:r>
          </w:p>
        </w:tc>
        <w:tc>
          <w:tcPr>
            <w:tcW w:type="dxa" w:w="1872"/>
            <w:vAlign w:val="center"/>
          </w:tcPr>
          <w:p>
            <w:pPr>
              <w:jc w:val="center"/>
            </w:pPr>
            <w:r/>
            <w:r>
              <w:rPr>
                <w:rFonts w:ascii="宋体" w:hAnsi="宋体" w:eastAsia="宋体"/>
                <w:b w:val="0"/>
                <w:color w:val="000000"/>
                <w:sz w:val="18"/>
              </w:rPr>
              <w:t>0.9910</w:t>
            </w:r>
          </w:p>
        </w:tc>
        <w:tc>
          <w:tcPr>
            <w:tcW w:type="dxa" w:w="1872"/>
            <w:vAlign w:val="center"/>
          </w:tcPr>
          <w:p>
            <w:pPr>
              <w:jc w:val="center"/>
            </w:pPr>
            <w:r/>
            <w:r>
              <w:rPr>
                <w:rFonts w:ascii="宋体" w:hAnsi="宋体" w:eastAsia="宋体"/>
                <w:b w:val="0"/>
                <w:color w:val="000000"/>
                <w:sz w:val="18"/>
              </w:rPr>
              <w:t>2000</w:t>
            </w:r>
          </w:p>
        </w:tc>
      </w:tr>
      <w:tr>
        <w:tc>
          <w:tcPr>
            <w:tcW w:type="dxa" w:w="1872"/>
            <w:vAlign w:val="center"/>
          </w:tcPr>
          <w:p>
            <w:pPr>
              <w:jc w:val="center"/>
            </w:pPr>
            <w:r/>
            <w:r>
              <w:rPr>
                <w:rFonts w:ascii="宋体" w:hAnsi="宋体" w:eastAsia="宋体"/>
                <w:b w:val="0"/>
                <w:color w:val="000000"/>
                <w:sz w:val="18"/>
              </w:rPr>
              <w:t>English</w:t>
            </w:r>
          </w:p>
        </w:tc>
        <w:tc>
          <w:tcPr>
            <w:tcW w:type="dxa" w:w="1872"/>
            <w:vAlign w:val="center"/>
          </w:tcPr>
          <w:p>
            <w:pPr>
              <w:jc w:val="center"/>
            </w:pPr>
            <w:r/>
            <w:r>
              <w:rPr>
                <w:rFonts w:ascii="宋体" w:hAnsi="宋体" w:eastAsia="宋体"/>
                <w:b w:val="0"/>
                <w:color w:val="000000"/>
                <w:sz w:val="18"/>
              </w:rPr>
              <w:t>0.9925</w:t>
            </w:r>
          </w:p>
        </w:tc>
        <w:tc>
          <w:tcPr>
            <w:tcW w:type="dxa" w:w="1872"/>
            <w:vAlign w:val="center"/>
          </w:tcPr>
          <w:p>
            <w:pPr>
              <w:jc w:val="center"/>
            </w:pPr>
            <w:r/>
            <w:r>
              <w:rPr>
                <w:rFonts w:ascii="宋体" w:hAnsi="宋体" w:eastAsia="宋体"/>
                <w:b w:val="0"/>
                <w:color w:val="000000"/>
                <w:sz w:val="18"/>
              </w:rPr>
              <w:t>0.9910</w:t>
            </w:r>
          </w:p>
        </w:tc>
        <w:tc>
          <w:tcPr>
            <w:tcW w:type="dxa" w:w="1872"/>
            <w:vAlign w:val="center"/>
          </w:tcPr>
          <w:p>
            <w:pPr>
              <w:jc w:val="center"/>
            </w:pPr>
            <w:r/>
            <w:r>
              <w:rPr>
                <w:rFonts w:ascii="宋体" w:hAnsi="宋体" w:eastAsia="宋体"/>
                <w:b w:val="0"/>
                <w:color w:val="000000"/>
                <w:sz w:val="18"/>
              </w:rPr>
              <w:t>0.9917</w:t>
            </w:r>
          </w:p>
        </w:tc>
        <w:tc>
          <w:tcPr>
            <w:tcW w:type="dxa" w:w="1872"/>
            <w:vAlign w:val="center"/>
          </w:tcPr>
          <w:p>
            <w:pPr>
              <w:jc w:val="center"/>
            </w:pPr>
            <w:r/>
            <w:r>
              <w:rPr>
                <w:rFonts w:ascii="宋体" w:hAnsi="宋体" w:eastAsia="宋体"/>
                <w:b w:val="0"/>
                <w:color w:val="000000"/>
                <w:sz w:val="18"/>
              </w:rPr>
              <w:t>2000</w:t>
            </w:r>
          </w:p>
        </w:tc>
      </w:tr>
      <w:tr>
        <w:tc>
          <w:tcPr>
            <w:tcW w:type="dxa" w:w="1872"/>
            <w:vAlign w:val="center"/>
          </w:tcPr>
          <w:p>
            <w:pPr>
              <w:jc w:val="center"/>
            </w:pPr>
            <w:r/>
            <w:r>
              <w:rPr>
                <w:rFonts w:ascii="宋体" w:hAnsi="宋体" w:eastAsia="宋体"/>
                <w:b w:val="0"/>
                <w:color w:val="000000"/>
                <w:sz w:val="18"/>
              </w:rPr>
              <w:t>French</w:t>
            </w:r>
          </w:p>
        </w:tc>
        <w:tc>
          <w:tcPr>
            <w:tcW w:type="dxa" w:w="1872"/>
            <w:vAlign w:val="center"/>
          </w:tcPr>
          <w:p>
            <w:pPr>
              <w:jc w:val="center"/>
            </w:pPr>
            <w:r/>
            <w:r>
              <w:rPr>
                <w:rFonts w:ascii="宋体" w:hAnsi="宋体" w:eastAsia="宋体"/>
                <w:b w:val="0"/>
                <w:color w:val="000000"/>
                <w:sz w:val="18"/>
              </w:rPr>
              <w:t>0.9995</w:t>
            </w:r>
          </w:p>
        </w:tc>
        <w:tc>
          <w:tcPr>
            <w:tcW w:type="dxa" w:w="1872"/>
            <w:vAlign w:val="center"/>
          </w:tcPr>
          <w:p>
            <w:pPr>
              <w:jc w:val="center"/>
            </w:pPr>
            <w:r/>
            <w:r>
              <w:rPr>
                <w:rFonts w:ascii="宋体" w:hAnsi="宋体" w:eastAsia="宋体"/>
                <w:b w:val="0"/>
                <w:color w:val="000000"/>
                <w:sz w:val="18"/>
              </w:rPr>
              <w:t>0.9975</w:t>
            </w:r>
          </w:p>
        </w:tc>
        <w:tc>
          <w:tcPr>
            <w:tcW w:type="dxa" w:w="1872"/>
            <w:vAlign w:val="center"/>
          </w:tcPr>
          <w:p>
            <w:pPr>
              <w:jc w:val="center"/>
            </w:pPr>
            <w:r/>
            <w:r>
              <w:rPr>
                <w:rFonts w:ascii="宋体" w:hAnsi="宋体" w:eastAsia="宋体"/>
                <w:b w:val="0"/>
                <w:color w:val="000000"/>
                <w:sz w:val="18"/>
              </w:rPr>
              <w:t>0.9985</w:t>
            </w:r>
          </w:p>
        </w:tc>
        <w:tc>
          <w:tcPr>
            <w:tcW w:type="dxa" w:w="1872"/>
            <w:vAlign w:val="center"/>
          </w:tcPr>
          <w:p>
            <w:pPr>
              <w:jc w:val="center"/>
            </w:pPr>
            <w:r/>
            <w:r>
              <w:rPr>
                <w:rFonts w:ascii="宋体" w:hAnsi="宋体" w:eastAsia="宋体"/>
                <w:b w:val="0"/>
                <w:color w:val="000000"/>
                <w:sz w:val="18"/>
              </w:rPr>
              <w:t>2000</w:t>
            </w:r>
          </w:p>
        </w:tc>
      </w:tr>
      <w:tr>
        <w:tc>
          <w:tcPr>
            <w:tcW w:type="dxa" w:w="1872"/>
            <w:vAlign w:val="center"/>
          </w:tcPr>
          <w:p>
            <w:pPr>
              <w:jc w:val="center"/>
            </w:pPr>
            <w:r/>
            <w:r>
              <w:rPr>
                <w:rFonts w:ascii="宋体" w:hAnsi="宋体" w:eastAsia="宋体"/>
                <w:b w:val="0"/>
                <w:color w:val="000000"/>
                <w:sz w:val="18"/>
              </w:rPr>
              <w:t>Japanese</w:t>
            </w:r>
          </w:p>
        </w:tc>
        <w:tc>
          <w:tcPr>
            <w:tcW w:type="dxa" w:w="1872"/>
            <w:vAlign w:val="center"/>
          </w:tcPr>
          <w:p>
            <w:pPr>
              <w:jc w:val="center"/>
            </w:pPr>
            <w:r/>
            <w:r>
              <w:rPr>
                <w:rFonts w:ascii="宋体" w:hAnsi="宋体" w:eastAsia="宋体"/>
                <w:b w:val="0"/>
                <w:color w:val="000000"/>
                <w:sz w:val="18"/>
              </w:rPr>
              <w:t>0.9847</w:t>
            </w:r>
          </w:p>
        </w:tc>
        <w:tc>
          <w:tcPr>
            <w:tcW w:type="dxa" w:w="1872"/>
            <w:vAlign w:val="center"/>
          </w:tcPr>
          <w:p>
            <w:pPr>
              <w:jc w:val="center"/>
            </w:pPr>
            <w:r/>
            <w:r>
              <w:rPr>
                <w:rFonts w:ascii="宋体" w:hAnsi="宋体" w:eastAsia="宋体"/>
                <w:b w:val="0"/>
                <w:color w:val="000000"/>
                <w:sz w:val="18"/>
              </w:rPr>
              <w:t>0.9960</w:t>
            </w:r>
          </w:p>
        </w:tc>
        <w:tc>
          <w:tcPr>
            <w:tcW w:type="dxa" w:w="1872"/>
            <w:vAlign w:val="center"/>
          </w:tcPr>
          <w:p>
            <w:pPr>
              <w:jc w:val="center"/>
            </w:pPr>
            <w:r/>
            <w:r>
              <w:rPr>
                <w:rFonts w:ascii="宋体" w:hAnsi="宋体" w:eastAsia="宋体"/>
                <w:b w:val="0"/>
                <w:color w:val="000000"/>
                <w:sz w:val="18"/>
              </w:rPr>
              <w:t>0.9903</w:t>
            </w:r>
          </w:p>
        </w:tc>
        <w:tc>
          <w:tcPr>
            <w:tcW w:type="dxa" w:w="1872"/>
            <w:vAlign w:val="center"/>
          </w:tcPr>
          <w:p>
            <w:pPr>
              <w:jc w:val="center"/>
            </w:pPr>
            <w:r/>
            <w:r>
              <w:rPr>
                <w:rFonts w:ascii="宋体" w:hAnsi="宋体" w:eastAsia="宋体"/>
                <w:b w:val="0"/>
                <w:color w:val="000000"/>
                <w:sz w:val="18"/>
              </w:rPr>
              <w:t>2000</w:t>
            </w:r>
          </w:p>
        </w:tc>
      </w:tr>
      <w:tr>
        <w:tc>
          <w:tcPr>
            <w:tcW w:type="dxa" w:w="1872"/>
            <w:vAlign w:val="center"/>
          </w:tcPr>
          <w:p>
            <w:pPr>
              <w:jc w:val="center"/>
            </w:pPr>
            <w:r/>
            <w:r>
              <w:rPr>
                <w:rFonts w:ascii="宋体" w:hAnsi="宋体" w:eastAsia="宋体"/>
                <w:b w:val="0"/>
                <w:color w:val="000000"/>
                <w:sz w:val="18"/>
              </w:rPr>
              <w:t>Korean</w:t>
            </w:r>
          </w:p>
        </w:tc>
        <w:tc>
          <w:tcPr>
            <w:tcW w:type="dxa" w:w="1872"/>
            <w:vAlign w:val="center"/>
          </w:tcPr>
          <w:p>
            <w:pPr>
              <w:jc w:val="center"/>
            </w:pPr>
            <w:r/>
            <w:r>
              <w:rPr>
                <w:rFonts w:ascii="宋体" w:hAnsi="宋体" w:eastAsia="宋体"/>
                <w:b w:val="0"/>
                <w:color w:val="000000"/>
                <w:sz w:val="18"/>
              </w:rPr>
              <w:t>0.9940</w:t>
            </w:r>
          </w:p>
        </w:tc>
        <w:tc>
          <w:tcPr>
            <w:tcW w:type="dxa" w:w="1872"/>
            <w:vAlign w:val="center"/>
          </w:tcPr>
          <w:p>
            <w:pPr>
              <w:jc w:val="center"/>
            </w:pPr>
            <w:r/>
            <w:r>
              <w:rPr>
                <w:rFonts w:ascii="宋体" w:hAnsi="宋体" w:eastAsia="宋体"/>
                <w:b w:val="0"/>
                <w:color w:val="000000"/>
                <w:sz w:val="18"/>
              </w:rPr>
              <w:t>0.9920</w:t>
            </w:r>
          </w:p>
        </w:tc>
        <w:tc>
          <w:tcPr>
            <w:tcW w:type="dxa" w:w="1872"/>
            <w:vAlign w:val="center"/>
          </w:tcPr>
          <w:p>
            <w:pPr>
              <w:jc w:val="center"/>
            </w:pPr>
            <w:r/>
            <w:r>
              <w:rPr>
                <w:rFonts w:ascii="宋体" w:hAnsi="宋体" w:eastAsia="宋体"/>
                <w:b w:val="0"/>
                <w:color w:val="000000"/>
                <w:sz w:val="18"/>
              </w:rPr>
              <w:t>0.9930</w:t>
            </w:r>
          </w:p>
        </w:tc>
        <w:tc>
          <w:tcPr>
            <w:tcW w:type="dxa" w:w="1872"/>
            <w:vAlign w:val="center"/>
          </w:tcPr>
          <w:p>
            <w:pPr>
              <w:jc w:val="center"/>
            </w:pPr>
            <w:r/>
            <w:r>
              <w:rPr>
                <w:rFonts w:ascii="宋体" w:hAnsi="宋体" w:eastAsia="宋体"/>
                <w:b w:val="0"/>
                <w:color w:val="000000"/>
                <w:sz w:val="18"/>
              </w:rPr>
              <w:t>2000</w:t>
            </w:r>
          </w:p>
        </w:tc>
      </w:tr>
      <w:tr>
        <w:tc>
          <w:tcPr>
            <w:tcW w:type="dxa" w:w="1872"/>
            <w:vAlign w:val="center"/>
          </w:tcPr>
          <w:p>
            <w:pPr>
              <w:jc w:val="center"/>
            </w:pPr>
            <w:r/>
            <w:r>
              <w:rPr>
                <w:rFonts w:ascii="宋体" w:hAnsi="宋体" w:eastAsia="宋体"/>
                <w:b w:val="0"/>
                <w:color w:val="000000"/>
                <w:sz w:val="18"/>
              </w:rPr>
              <w:t>总体</w:t>
            </w:r>
          </w:p>
        </w:tc>
        <w:tc>
          <w:tcPr>
            <w:tcW w:type="dxa" w:w="1872"/>
            <w:vAlign w:val="center"/>
          </w:tcPr>
          <w:p>
            <w:pPr>
              <w:jc w:val="center"/>
            </w:pPr>
            <w:r/>
            <w:r>
              <w:rPr>
                <w:rFonts w:ascii="宋体" w:hAnsi="宋体" w:eastAsia="宋体"/>
                <w:b w:val="0"/>
                <w:color w:val="000000"/>
                <w:sz w:val="18"/>
              </w:rPr>
              <w:t>0.9929</w:t>
            </w:r>
          </w:p>
        </w:tc>
        <w:tc>
          <w:tcPr>
            <w:tcW w:type="dxa" w:w="1872"/>
            <w:vAlign w:val="center"/>
          </w:tcPr>
          <w:p>
            <w:pPr>
              <w:jc w:val="center"/>
            </w:pPr>
            <w:r/>
            <w:r>
              <w:rPr>
                <w:rFonts w:ascii="宋体" w:hAnsi="宋体" w:eastAsia="宋体"/>
                <w:b w:val="0"/>
                <w:color w:val="000000"/>
                <w:sz w:val="18"/>
              </w:rPr>
              <w:t>0.9929</w:t>
            </w:r>
          </w:p>
        </w:tc>
        <w:tc>
          <w:tcPr>
            <w:tcW w:type="dxa" w:w="1872"/>
            <w:vAlign w:val="center"/>
          </w:tcPr>
          <w:p>
            <w:pPr>
              <w:jc w:val="center"/>
            </w:pPr>
            <w:r/>
            <w:r>
              <w:rPr>
                <w:rFonts w:ascii="宋体" w:hAnsi="宋体" w:eastAsia="宋体"/>
                <w:b w:val="0"/>
                <w:color w:val="000000"/>
                <w:sz w:val="18"/>
              </w:rPr>
              <w:t>0.9929</w:t>
            </w:r>
          </w:p>
        </w:tc>
        <w:tc>
          <w:tcPr>
            <w:tcW w:type="dxa" w:w="1872"/>
            <w:vAlign w:val="center"/>
          </w:tcPr>
          <w:p>
            <w:pPr>
              <w:jc w:val="center"/>
            </w:pPr>
            <w:r/>
            <w:r>
              <w:rPr>
                <w:rFonts w:ascii="宋体" w:hAnsi="宋体" w:eastAsia="宋体"/>
                <w:b w:val="0"/>
                <w:color w:val="000000"/>
                <w:sz w:val="18"/>
              </w:rPr>
              <w:t>10000</w:t>
            </w:r>
          </w:p>
        </w:tc>
      </w:tr>
    </w:tbl>
    <w:p>
      <w:pPr>
        <w:jc w:val="center"/>
      </w:pPr>
      <w:r>
        <w:drawing>
          <wp:inline xmlns:a="http://schemas.openxmlformats.org/drawingml/2006/main" xmlns:pic="http://schemas.openxmlformats.org/drawingml/2006/picture">
            <wp:extent cx="5120640" cy="3840480"/>
            <wp:docPr id="2" name="Picture 2"/>
            <wp:cNvGraphicFramePr>
              <a:graphicFrameLocks noChangeAspect="1"/>
            </wp:cNvGraphicFramePr>
            <a:graphic>
              <a:graphicData uri="http://schemas.openxmlformats.org/drawingml/2006/picture">
                <pic:pic>
                  <pic:nvPicPr>
                    <pic:cNvPr id="0" name="external_voxlingua_confusion_matrix.png"/>
                    <pic:cNvPicPr/>
                  </pic:nvPicPr>
                  <pic:blipFill>
                    <a:blip r:embed="rId10"/>
                    <a:stretch>
                      <a:fillRect/>
                    </a:stretch>
                  </pic:blipFill>
                  <pic:spPr>
                    <a:xfrm>
                      <a:off x="0" y="0"/>
                      <a:ext cx="5120640" cy="3840480"/>
                    </a:xfrm>
                    <a:prstGeom prst="rect"/>
                  </pic:spPr>
                </pic:pic>
              </a:graphicData>
            </a:graphic>
          </wp:inline>
        </w:drawing>
      </w:r>
    </w:p>
    <w:p>
      <w:pPr>
        <w:jc w:val="center"/>
      </w:pPr>
      <w:r>
        <w:rPr>
          <w:rFonts w:ascii="宋体" w:hAnsi="宋体" w:eastAsia="宋体"/>
          <w:b w:val="0"/>
          <w:color w:val="000000"/>
          <w:sz w:val="18"/>
        </w:rPr>
        <w:t>图2 VoxLingua107 外部测试集混淆矩阵</w:t>
      </w:r>
    </w:p>
    <w:p>
      <w:pPr>
        <w:spacing w:before="120" w:after="80"/>
      </w:pPr>
      <w:r>
        <w:rPr>
          <w:rFonts w:ascii="黑体" w:hAnsi="黑体" w:eastAsia="黑体"/>
          <w:b/>
          <w:color w:val="000000"/>
          <w:sz w:val="24"/>
        </w:rPr>
        <w:t>4.4 训练过程分析</w:t>
      </w:r>
    </w:p>
    <w:p>
      <w:pPr>
        <w:spacing w:line="360" w:lineRule="auto" w:after="60"/>
        <w:ind w:firstLine="480"/>
      </w:pPr>
      <w:r>
        <w:rPr>
          <w:rFonts w:ascii="宋体" w:hAnsi="宋体" w:eastAsia="宋体"/>
          <w:b w:val="0"/>
          <w:color w:val="000000"/>
          <w:sz w:val="24"/>
        </w:rPr>
        <w:t>从训练过程看，模型主要训练新增的轻量模块，预训练主干保持冻结。因此训练参数较少，收敛更稳定。加入外部域适配数据后，模型不仅能适应基础数据，也能适应更多真实语音变化。</w:t>
      </w:r>
    </w:p>
    <w:p>
      <w:pPr>
        <w:spacing w:line="360" w:lineRule="auto" w:after="60"/>
        <w:ind w:firstLine="480"/>
      </w:pPr>
      <w:r>
        <w:rPr>
          <w:rFonts w:ascii="宋体" w:hAnsi="宋体" w:eastAsia="宋体"/>
          <w:b w:val="0"/>
          <w:color w:val="000000"/>
          <w:sz w:val="24"/>
        </w:rPr>
        <w:t>训练中使用标签平滑、权重衰减和早停策略，目的是降低过拟合风险。梯度累积解决了大模型显存占用高导致批大小较小的问题。整体训练策略是在保证可训练性的前提下尽量提高泛化能力。</w:t>
      </w:r>
    </w:p>
    <w:p>
      <w:pPr>
        <w:jc w:val="center"/>
      </w:pPr>
      <w:r>
        <w:drawing>
          <wp:inline xmlns:a="http://schemas.openxmlformats.org/drawingml/2006/main" xmlns:pic="http://schemas.openxmlformats.org/drawingml/2006/picture">
            <wp:extent cx="5120640" cy="2048256"/>
            <wp:docPr id="3" name="Picture 3"/>
            <wp:cNvGraphicFramePr>
              <a:graphicFrameLocks noChangeAspect="1"/>
            </wp:cNvGraphicFramePr>
            <a:graphic>
              <a:graphicData uri="http://schemas.openxmlformats.org/drawingml/2006/picture">
                <pic:pic>
                  <pic:nvPicPr>
                    <pic:cNvPr id="0" name="owsm_adapter_training_curve.png"/>
                    <pic:cNvPicPr/>
                  </pic:nvPicPr>
                  <pic:blipFill>
                    <a:blip r:embed="rId11"/>
                    <a:stretch>
                      <a:fillRect/>
                    </a:stretch>
                  </pic:blipFill>
                  <pic:spPr>
                    <a:xfrm>
                      <a:off x="0" y="0"/>
                      <a:ext cx="5120640" cy="2048256"/>
                    </a:xfrm>
                    <a:prstGeom prst="rect"/>
                  </pic:spPr>
                </pic:pic>
              </a:graphicData>
            </a:graphic>
          </wp:inline>
        </w:drawing>
      </w:r>
    </w:p>
    <w:p>
      <w:pPr>
        <w:jc w:val="center"/>
      </w:pPr>
      <w:r>
        <w:rPr>
          <w:rFonts w:ascii="宋体" w:hAnsi="宋体" w:eastAsia="宋体"/>
          <w:b w:val="0"/>
          <w:color w:val="000000"/>
          <w:sz w:val="18"/>
        </w:rPr>
        <w:t>图3 模型训练曲线</w:t>
      </w:r>
    </w:p>
    <w:p>
      <w:pPr>
        <w:spacing w:before="120" w:after="80"/>
      </w:pPr>
      <w:r>
        <w:rPr>
          <w:rFonts w:ascii="黑体" w:hAnsi="黑体" w:eastAsia="黑体"/>
          <w:b/>
          <w:color w:val="000000"/>
          <w:sz w:val="24"/>
        </w:rPr>
        <w:t>4.5 结果讨论</w:t>
      </w:r>
    </w:p>
    <w:p>
      <w:pPr>
        <w:spacing w:line="360" w:lineRule="auto" w:after="60"/>
        <w:ind w:firstLine="480"/>
      </w:pPr>
      <w:r>
        <w:rPr>
          <w:rFonts w:ascii="宋体" w:hAnsi="宋体" w:eastAsia="宋体"/>
          <w:b w:val="0"/>
          <w:color w:val="000000"/>
          <w:sz w:val="24"/>
        </w:rPr>
        <w:t>内部测试达到 100.00% 说明模型在同源数据上识别稳定，但不能直接理解为所有真实场景都能 100% 正确。外部测试 99.29% 更能说明模型具有一定泛化能力，因为外部测试的说话人、录音环境和数据来源都不同于基础数据。</w:t>
      </w:r>
    </w:p>
    <w:p>
      <w:pPr>
        <w:spacing w:line="360" w:lineRule="auto" w:after="60"/>
        <w:ind w:firstLine="480"/>
      </w:pPr>
      <w:r>
        <w:rPr>
          <w:rFonts w:ascii="宋体" w:hAnsi="宋体" w:eastAsia="宋体"/>
          <w:b w:val="0"/>
          <w:color w:val="000000"/>
          <w:sz w:val="24"/>
        </w:rPr>
        <w:t>从各语种指标看，五个语种的 F1 值都较高，说明模型没有明显只偏向某一个类别。日语和韩语等相对容易混淆的语种在外部测试中也保持较高召回率，说明角度间隔分类和域适配训练对区分类别边界有帮助。</w:t>
      </w:r>
    </w:p>
    <w:p>
      <w:pPr>
        <w:spacing w:before="120" w:after="80"/>
      </w:pPr>
      <w:r>
        <w:rPr>
          <w:rFonts w:ascii="黑体" w:hAnsi="黑体" w:eastAsia="黑体"/>
          <w:b/>
          <w:color w:val="000000"/>
          <w:sz w:val="24"/>
        </w:rPr>
        <w:t>4.6 系统运行效果</w:t>
      </w:r>
    </w:p>
    <w:p>
      <w:pPr>
        <w:spacing w:line="360" w:lineRule="auto" w:after="60"/>
        <w:ind w:firstLine="480"/>
      </w:pPr>
      <w:r>
        <w:rPr>
          <w:rFonts w:ascii="宋体" w:hAnsi="宋体" w:eastAsia="宋体"/>
          <w:b w:val="0"/>
          <w:color w:val="000000"/>
          <w:sz w:val="24"/>
        </w:rPr>
        <w:t>项目最终实现了可演示系统。用户可以上传本地音频，也可以使用浏览器麦克风录音。系统会返回预测语种、置信度和五个语种的概率分布。由于底层模型规模较大，模型启动和单条推理速度比轻量模型慢，这是当前方案在精度和速度之间的取舍。</w:t>
      </w:r>
    </w:p>
    <w:p>
      <w:pPr>
        <w:spacing w:before="200" w:after="120"/>
      </w:pPr>
      <w:r>
        <w:rPr>
          <w:rFonts w:ascii="黑体" w:hAnsi="黑体" w:eastAsia="黑体"/>
          <w:b/>
          <w:color w:val="000000"/>
          <w:sz w:val="28"/>
        </w:rPr>
        <w:t>5 总结</w:t>
      </w:r>
    </w:p>
    <w:p>
      <w:pPr>
        <w:spacing w:before="120" w:after="80"/>
      </w:pPr>
      <w:r>
        <w:rPr>
          <w:rFonts w:ascii="黑体" w:hAnsi="黑体" w:eastAsia="黑体"/>
          <w:b/>
          <w:color w:val="000000"/>
          <w:sz w:val="24"/>
        </w:rPr>
        <w:t>5.1 项目完成情况</w:t>
      </w:r>
    </w:p>
    <w:p>
      <w:pPr>
        <w:spacing w:line="360" w:lineRule="auto" w:after="60"/>
        <w:ind w:firstLine="480"/>
      </w:pPr>
      <w:r>
        <w:rPr>
          <w:rFonts w:ascii="宋体" w:hAnsi="宋体" w:eastAsia="宋体"/>
          <w:b w:val="0"/>
          <w:color w:val="000000"/>
          <w:sz w:val="24"/>
        </w:rPr>
        <w:t>本项目完成了一个从数据准备、模型训练、实验评估到系统演示的完整语种识别系统。项目核心不是网页界面，而是基于预训练语音模型完成五语种识别任务，并通过内部测试和外部测试验证效果。</w:t>
      </w:r>
    </w:p>
    <w:p>
      <w:pPr>
        <w:spacing w:before="120" w:after="80"/>
      </w:pPr>
      <w:r>
        <w:rPr>
          <w:rFonts w:ascii="黑体" w:hAnsi="黑体" w:eastAsia="黑体"/>
          <w:b/>
          <w:color w:val="000000"/>
          <w:sz w:val="24"/>
        </w:rPr>
        <w:t>5.2 项目特点</w:t>
      </w:r>
    </w:p>
    <w:p>
      <w:pPr>
        <w:spacing w:line="360" w:lineRule="auto" w:after="60"/>
        <w:ind w:firstLine="480"/>
      </w:pPr>
      <w:r>
        <w:rPr>
          <w:rFonts w:ascii="宋体" w:hAnsi="宋体" w:eastAsia="宋体"/>
          <w:b w:val="0"/>
          <w:color w:val="000000"/>
          <w:sz w:val="24"/>
        </w:rPr>
        <w:t>项目的主要特点包括：使用近年开放语音基础模型 OWSM-CTC v4；采用冻结主干加轻量适配的参数高效训练方式；通过时序注意力池化处理可变长度语音；通过角度间隔分类增强类别区分；通过 VoxLingua107 外部测试验证泛化能力。</w:t>
      </w:r>
    </w:p>
    <w:p>
      <w:pPr>
        <w:spacing w:before="120" w:after="80"/>
      </w:pPr>
      <w:r>
        <w:rPr>
          <w:rFonts w:ascii="黑体" w:hAnsi="黑体" w:eastAsia="黑体"/>
          <w:b/>
          <w:color w:val="000000"/>
          <w:sz w:val="24"/>
        </w:rPr>
        <w:t>5.3 不足与改进方向</w:t>
      </w:r>
    </w:p>
    <w:p>
      <w:pPr>
        <w:spacing w:line="360" w:lineRule="auto" w:after="60"/>
        <w:ind w:firstLine="480"/>
      </w:pPr>
      <w:r>
        <w:rPr>
          <w:rFonts w:ascii="宋体" w:hAnsi="宋体" w:eastAsia="宋体"/>
          <w:b w:val="0"/>
          <w:color w:val="000000"/>
          <w:sz w:val="24"/>
        </w:rPr>
        <w:t>项目目前只支持五个语种，后续可以扩展更多语种或方言。OWSM v4 模型规模较大，推理速度相对较慢，后续可以考虑模型蒸馏、量化或更换轻量语音编码器。当前外部测试已经覆盖 10000 条样本，但真实场景中还可能存在强噪声、远场录音、多人重叠说话和极短语音片段，后续可以继续补充复杂场景数据。</w:t>
      </w:r>
    </w:p>
    <w:p>
      <w:pPr>
        <w:spacing w:line="360" w:lineRule="auto" w:after="60"/>
        <w:ind w:firstLine="480"/>
      </w:pPr>
      <w:r>
        <w:rPr>
          <w:rFonts w:ascii="宋体" w:hAnsi="宋体" w:eastAsia="宋体"/>
          <w:b w:val="0"/>
          <w:color w:val="000000"/>
          <w:sz w:val="24"/>
        </w:rPr>
        <w:t>总体来看，本项目符合语音识别课程综合项目要求，能够体现语音预处理、预训练模型迁移、参数高效微调、时序建模、分类评估和系统部署等课程相关内容。</w:t>
      </w:r>
    </w:p>
    <w:p>
      <w:pPr>
        <w:spacing w:before="200" w:after="120"/>
      </w:pPr>
      <w:r>
        <w:rPr>
          <w:rFonts w:ascii="黑体" w:hAnsi="黑体" w:eastAsia="黑体"/>
          <w:b/>
          <w:color w:val="000000"/>
          <w:sz w:val="28"/>
        </w:rPr>
        <w:t>参考文献</w:t>
      </w:r>
    </w:p>
    <w:p>
      <w:pPr>
        <w:spacing w:line="360" w:lineRule="auto" w:after="60"/>
      </w:pPr>
      <w:r>
        <w:rPr>
          <w:rFonts w:ascii="宋体" w:hAnsi="宋体" w:eastAsia="宋体"/>
          <w:b w:val="0"/>
          <w:color w:val="000000"/>
          <w:sz w:val="24"/>
        </w:rPr>
        <w:t>[1] Y. Peng et al., “OWSM v4: Improving Open Whisper-Style Speech Models via Data Scaling and Cleaning,” arXiv:2506.00338, 2025.</w:t>
      </w:r>
    </w:p>
    <w:p>
      <w:pPr>
        <w:spacing w:line="360" w:lineRule="auto" w:after="60"/>
      </w:pPr>
      <w:r>
        <w:rPr>
          <w:rFonts w:ascii="宋体" w:hAnsi="宋体" w:eastAsia="宋体"/>
          <w:b w:val="0"/>
          <w:color w:val="000000"/>
          <w:sz w:val="24"/>
        </w:rPr>
        <w:t>[2] Y. Peng et al., “OWSM-CTC: An Open Encoder-Only Speech Foundation Model for Speech Recognition, Translation, and Language Identification,” in Proceedings of ACL, 2024.</w:t>
      </w:r>
    </w:p>
    <w:p>
      <w:pPr>
        <w:spacing w:line="360" w:lineRule="auto" w:after="60"/>
      </w:pPr>
      <w:r>
        <w:rPr>
          <w:rFonts w:ascii="宋体" w:hAnsi="宋体" w:eastAsia="宋体"/>
          <w:b w:val="0"/>
          <w:color w:val="000000"/>
          <w:sz w:val="24"/>
        </w:rPr>
        <w:t>[3] J. Kim et al., “Convolution-Augmented Parameter-Efficient Fine-Tuning for Speech Recognition,” in Proceedings of Interspeech, 2024.</w:t>
      </w:r>
    </w:p>
    <w:p>
      <w:pPr>
        <w:spacing w:line="360" w:lineRule="auto" w:after="60"/>
      </w:pPr>
      <w:r>
        <w:rPr>
          <w:rFonts w:ascii="宋体" w:hAnsi="宋体" w:eastAsia="宋体"/>
          <w:b w:val="0"/>
          <w:color w:val="000000"/>
          <w:sz w:val="24"/>
        </w:rPr>
        <w:t>[4] S. Khanuja et al., “FLEURS: Few-shot Learning Evaluation of Universal Representations of Speech,” arXiv:2205.12446, 2022.</w:t>
      </w:r>
    </w:p>
    <w:p>
      <w:pPr>
        <w:spacing w:line="360" w:lineRule="auto" w:after="60"/>
      </w:pPr>
      <w:r>
        <w:rPr>
          <w:rFonts w:ascii="宋体" w:hAnsi="宋体" w:eastAsia="宋体"/>
          <w:b w:val="0"/>
          <w:color w:val="000000"/>
          <w:sz w:val="24"/>
        </w:rPr>
        <w:t>[5] J. Valk and T. Alumäe, “VoxLingua107: a Dataset for Spoken Language Recognition,” in Proceedings of IEEE SLT, 2021.</w:t>
      </w:r>
    </w:p>
    <w:p>
      <w:pPr>
        <w:spacing w:line="360" w:lineRule="auto" w:after="60"/>
      </w:pPr>
      <w:r>
        <w:rPr>
          <w:rFonts w:ascii="宋体" w:hAnsi="宋体" w:eastAsia="宋体"/>
          <w:b w:val="0"/>
          <w:color w:val="000000"/>
          <w:sz w:val="24"/>
        </w:rPr>
        <w:t>[6] A. Radford et al., “Robust Speech Recognition via Large-Scale Weak Supervision,” in Proceedings of ICML, 2023.</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