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宋体" w:hAnsi="宋体" w:eastAsia="宋体"/>
          <w:b/>
          <w:color w:val="000000"/>
          <w:sz w:val="44"/>
        </w:rPr>
        <w:t>华 中 师 范 大 学</w:t>
      </w:r>
    </w:p>
    <w:p>
      <w:pPr>
        <w:spacing w:after="240"/>
        <w:jc w:val="center"/>
      </w:pPr>
      <w:r>
        <w:rPr>
          <w:rFonts w:ascii="宋体" w:hAnsi="宋体" w:eastAsia="宋体"/>
          <w:b/>
          <w:color w:val="000000"/>
          <w:sz w:val="36"/>
        </w:rPr>
        <w:t>《语音识别》程序设计课程综合项目设计报告</w:t>
      </w:r>
    </w:p>
    <w:p/>
    <w:p/>
    <w:p/>
    <w:p>
      <w:pPr>
        <w:spacing w:after="320"/>
        <w:jc w:val="center"/>
      </w:pPr>
      <w:r>
        <w:rPr>
          <w:rFonts w:ascii="黑体" w:hAnsi="黑体" w:eastAsia="黑体"/>
          <w:b/>
          <w:color w:val="000000"/>
          <w:sz w:val="36"/>
        </w:rPr>
        <w:t>基于 OWSM v4 与参数高效微调的多语种语种识别系统</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center"/>
            </w:pPr>
            <w:r/>
            <w:r>
              <w:rPr>
                <w:rFonts w:ascii="宋体" w:hAnsi="宋体" w:eastAsia="宋体"/>
                <w:b/>
                <w:color w:val="000000"/>
                <w:sz w:val="24"/>
              </w:rPr>
              <w:t>姓    名</w:t>
            </w:r>
          </w:p>
        </w:tc>
        <w:tc>
          <w:tcPr>
            <w:tcW w:type="dxa" w:w="4680"/>
            <w:vAlign w:val="center"/>
          </w:tcPr>
          <w:p>
            <w:pPr>
              <w:jc w:val="center"/>
            </w:pPr>
            <w:r/>
            <w:r>
              <w:rPr>
                <w:rFonts w:ascii="宋体" w:hAnsi="宋体" w:eastAsia="宋体"/>
                <w:b w:val="0"/>
                <w:color w:val="000000"/>
                <w:sz w:val="24"/>
              </w:rPr>
              <w:t>姜硕阳</w:t>
            </w:r>
          </w:p>
        </w:tc>
      </w:tr>
      <w:tr>
        <w:tc>
          <w:tcPr>
            <w:tcW w:type="dxa" w:w="4680"/>
            <w:vAlign w:val="center"/>
          </w:tcPr>
          <w:p>
            <w:pPr>
              <w:jc w:val="center"/>
            </w:pPr>
            <w:r/>
            <w:r>
              <w:rPr>
                <w:rFonts w:ascii="宋体" w:hAnsi="宋体" w:eastAsia="宋体"/>
                <w:b/>
                <w:color w:val="000000"/>
                <w:sz w:val="24"/>
              </w:rPr>
              <w:t>学    号</w:t>
            </w:r>
          </w:p>
        </w:tc>
        <w:tc>
          <w:tcPr>
            <w:tcW w:type="dxa" w:w="4680"/>
            <w:vAlign w:val="center"/>
          </w:tcPr>
          <w:p>
            <w:pPr>
              <w:jc w:val="center"/>
            </w:pPr>
            <w:r/>
            <w:r>
              <w:rPr>
                <w:rFonts w:ascii="宋体" w:hAnsi="宋体" w:eastAsia="宋体"/>
                <w:b w:val="0"/>
                <w:color w:val="000000"/>
                <w:sz w:val="24"/>
              </w:rPr>
              <w:t>2023215822</w:t>
            </w:r>
          </w:p>
        </w:tc>
      </w:tr>
      <w:tr>
        <w:tc>
          <w:tcPr>
            <w:tcW w:type="dxa" w:w="4680"/>
            <w:vAlign w:val="center"/>
          </w:tcPr>
          <w:p>
            <w:pPr>
              <w:jc w:val="center"/>
            </w:pPr>
            <w:r/>
            <w:r>
              <w:rPr>
                <w:rFonts w:ascii="宋体" w:hAnsi="宋体" w:eastAsia="宋体"/>
                <w:b/>
                <w:color w:val="000000"/>
                <w:sz w:val="24"/>
              </w:rPr>
              <w:t>专    业</w:t>
            </w:r>
          </w:p>
        </w:tc>
        <w:tc>
          <w:tcPr>
            <w:tcW w:type="dxa" w:w="4680"/>
            <w:vAlign w:val="center"/>
          </w:tcPr>
          <w:p>
            <w:pPr>
              <w:jc w:val="center"/>
            </w:pPr>
            <w:r/>
            <w:r>
              <w:rPr>
                <w:rFonts w:ascii="宋体" w:hAnsi="宋体" w:eastAsia="宋体"/>
                <w:b w:val="0"/>
                <w:color w:val="000000"/>
                <w:sz w:val="24"/>
              </w:rPr>
              <w:t>________________</w:t>
            </w:r>
          </w:p>
        </w:tc>
      </w:tr>
      <w:tr>
        <w:tc>
          <w:tcPr>
            <w:tcW w:type="dxa" w:w="4680"/>
            <w:vAlign w:val="center"/>
          </w:tcPr>
          <w:p>
            <w:pPr>
              <w:jc w:val="center"/>
            </w:pPr>
            <w:r/>
            <w:r>
              <w:rPr>
                <w:rFonts w:ascii="宋体" w:hAnsi="宋体" w:eastAsia="宋体"/>
                <w:b/>
                <w:color w:val="000000"/>
                <w:sz w:val="24"/>
              </w:rPr>
              <w:t>年    级</w:t>
            </w:r>
          </w:p>
        </w:tc>
        <w:tc>
          <w:tcPr>
            <w:tcW w:type="dxa" w:w="4680"/>
            <w:vAlign w:val="center"/>
          </w:tcPr>
          <w:p>
            <w:pPr>
              <w:jc w:val="center"/>
            </w:pPr>
            <w:r/>
            <w:r>
              <w:rPr>
                <w:rFonts w:ascii="宋体" w:hAnsi="宋体" w:eastAsia="宋体"/>
                <w:b w:val="0"/>
                <w:color w:val="000000"/>
                <w:sz w:val="24"/>
              </w:rPr>
              <w:t>________________</w:t>
            </w:r>
          </w:p>
        </w:tc>
      </w:tr>
      <w:tr>
        <w:tc>
          <w:tcPr>
            <w:tcW w:type="dxa" w:w="4680"/>
            <w:vAlign w:val="center"/>
          </w:tcPr>
          <w:p>
            <w:pPr>
              <w:jc w:val="center"/>
            </w:pPr>
            <w:r/>
            <w:r>
              <w:rPr>
                <w:rFonts w:ascii="宋体" w:hAnsi="宋体" w:eastAsia="宋体"/>
                <w:b/>
                <w:color w:val="000000"/>
                <w:sz w:val="24"/>
              </w:rPr>
              <w:t>项目题目</w:t>
            </w:r>
          </w:p>
        </w:tc>
        <w:tc>
          <w:tcPr>
            <w:tcW w:type="dxa" w:w="4680"/>
            <w:vAlign w:val="center"/>
          </w:tcPr>
          <w:p>
            <w:pPr>
              <w:jc w:val="center"/>
            </w:pPr>
            <w:r/>
            <w:r>
              <w:rPr>
                <w:rFonts w:ascii="宋体" w:hAnsi="宋体" w:eastAsia="宋体"/>
                <w:b w:val="0"/>
                <w:color w:val="000000"/>
                <w:sz w:val="24"/>
              </w:rPr>
              <w:t>基于 OWSM v4 与参数高效微调的多语种语种识别系统</w:t>
            </w:r>
          </w:p>
        </w:tc>
      </w:tr>
      <w:tr>
        <w:tc>
          <w:tcPr>
            <w:tcW w:type="dxa" w:w="4680"/>
            <w:vAlign w:val="center"/>
          </w:tcPr>
          <w:p>
            <w:pPr>
              <w:jc w:val="center"/>
            </w:pPr>
            <w:r>
              <w:rPr>
                <w:rFonts w:ascii="宋体" w:hAnsi="宋体" w:eastAsia="宋体"/>
                <w:b/>
                <w:color w:val="000000"/>
                <w:sz w:val="24"/>
              </w:rPr>
              <w:t>项目地址</w:t>
            </w:r>
          </w:p>
        </w:tc>
        <w:tc>
          <w:tcPr>
            <w:tcW w:type="dxa" w:w="4680"/>
            <w:vAlign w:val="center"/>
          </w:tcPr>
          <w:p>
            <w:pPr>
              <w:jc w:val="center"/>
            </w:pPr>
            <w:r>
              <w:rPr>
                <w:rFonts w:ascii="宋体" w:hAnsi="宋体" w:eastAsia="宋体"/>
                <w:b w:val="0"/>
                <w:color w:val="000000"/>
                <w:sz w:val="24"/>
              </w:rPr>
              <w:t>上传仓库后填写 GitHub/Gitee 地址</w:t>
            </w:r>
          </w:p>
        </w:tc>
      </w:tr>
    </w:tbl>
    <w:p>
      <w:r>
        <w:br w:type="page"/>
      </w:r>
    </w:p>
    <w:p>
      <w:pPr>
        <w:spacing w:before="200" w:after="120"/>
      </w:pPr>
      <w:r>
        <w:rPr>
          <w:rFonts w:ascii="黑体" w:hAnsi="黑体" w:eastAsia="黑体"/>
          <w:b/>
          <w:color w:val="000000"/>
          <w:sz w:val="28"/>
        </w:rPr>
        <w:t>摘  要</w:t>
      </w:r>
    </w:p>
    <w:p>
      <w:pPr>
        <w:spacing w:line="360" w:lineRule="auto" w:after="60"/>
        <w:ind w:firstLine="480"/>
      </w:pPr>
      <w:r>
        <w:rPr>
          <w:rFonts w:ascii="宋体" w:hAnsi="宋体" w:eastAsia="宋体"/>
          <w:b w:val="0"/>
          <w:color w:val="000000"/>
          <w:sz w:val="24"/>
        </w:rPr>
        <w:t>本项目围绕语音识别课程中的多语种语音处理问题，设计并实现了一个五语种语音语种识别系统。系统输入一段语音后，不进行文字转写，而是判断该语音属于中文、英文、法语、日语或韩语中的哪一种。语种识别是多语种语音识别系统中的前置环节，在多语种会议、智能客服、语音翻译和语音数据自动整理等场景中具有实际意义。</w:t>
      </w:r>
    </w:p>
    <w:p>
      <w:pPr>
        <w:spacing w:line="360" w:lineRule="auto" w:after="60"/>
        <w:ind w:firstLine="480"/>
      </w:pPr>
      <w:r>
        <w:rPr>
          <w:rFonts w:ascii="宋体" w:hAnsi="宋体" w:eastAsia="宋体"/>
          <w:b w:val="0"/>
          <w:color w:val="000000"/>
          <w:sz w:val="24"/>
        </w:rPr>
        <w:t>项目采用 OWSM-CTC v4 预训练语音模型作为语音编码器，利用其在大规模多语种语音数据上学习到的通用声学表示能力。训练过程中冻结预训练主干，不从零训练大模型，也不全量微调 1B 级参数，而是在编码器后加入卷积适配模块、时序注意力池化模块、语音嵌入层和角度间隔分类头，只训练少量新增参数完成五分类任务。该方案兼顾了近年语音基础模型的发展方向和课程项目有限数据、有限算力的实际条件。</w:t>
      </w:r>
    </w:p>
    <w:p>
      <w:pPr>
        <w:spacing w:line="360" w:lineRule="auto" w:after="60"/>
        <w:ind w:firstLine="480"/>
      </w:pPr>
      <w:r>
        <w:rPr>
          <w:rFonts w:ascii="宋体" w:hAnsi="宋体" w:eastAsia="宋体"/>
          <w:b w:val="0"/>
          <w:color w:val="000000"/>
          <w:sz w:val="24"/>
        </w:rPr>
        <w:t>音频处理方面，系统将输入音频统一转换为单声道 16kHz，并进行音量归一化、固定窗口切分和多窗口预测融合。训练阶段引入音量扰动、时间平移、轻微噪声和随机裁剪等增强方式，提升模型对不同录音条件的适应能力。数据方面，项目使用 FLEURS 五语种数据构建基础训练和同源测试，并引入 VoxLingua107 五语种数据进行域适配和外部测试。实验结果显示，模型在内部测试集达到 100.00% 准确率，在 VoxLingua107 外部测试集 10000 条样本上达到 99.29% 准确率。</w:t>
      </w:r>
    </w:p>
    <w:p>
      <w:r>
        <w:rPr>
          <w:rFonts w:ascii="黑体" w:hAnsi="黑体" w:eastAsia="黑体"/>
          <w:b/>
          <w:color w:val="000000"/>
          <w:sz w:val="24"/>
        </w:rPr>
        <w:t>关键词：</w:t>
      </w:r>
      <w:r>
        <w:rPr>
          <w:rFonts w:ascii="宋体" w:hAnsi="宋体" w:eastAsia="宋体"/>
          <w:b w:val="0"/>
          <w:color w:val="000000"/>
          <w:sz w:val="24"/>
        </w:rPr>
        <w:t>语种识别；预训练语音模型；OWSM-CTC v4；参数高效微调；时序注意力池化；域适配</w:t>
      </w:r>
    </w:p>
    <w:p>
      <w:r>
        <w:br w:type="page"/>
      </w:r>
    </w:p>
    <w:p>
      <w:pPr>
        <w:spacing w:before="200" w:after="120"/>
      </w:pPr>
      <w:r>
        <w:rPr>
          <w:rFonts w:ascii="黑体" w:hAnsi="黑体" w:eastAsia="黑体"/>
          <w:b/>
          <w:color w:val="000000"/>
          <w:sz w:val="28"/>
        </w:rPr>
        <w:t>目  录</w:t>
      </w:r>
    </w:p>
    <w:p>
      <w:pPr>
        <w:spacing w:line="360" w:lineRule="auto" w:after="60"/>
      </w:pPr>
      <w:r>
        <w:rPr>
          <w:rFonts w:ascii="宋体" w:hAnsi="宋体" w:eastAsia="宋体"/>
          <w:b w:val="0"/>
          <w:color w:val="000000"/>
          <w:sz w:val="24"/>
        </w:rPr>
        <w:t>1 项目简介</w:t>
      </w:r>
    </w:p>
    <w:p>
      <w:pPr>
        <w:spacing w:line="360" w:lineRule="auto" w:after="60"/>
      </w:pPr>
      <w:r>
        <w:rPr>
          <w:rFonts w:ascii="宋体" w:hAnsi="宋体" w:eastAsia="宋体"/>
          <w:b w:val="0"/>
          <w:color w:val="000000"/>
          <w:sz w:val="24"/>
        </w:rPr>
        <w:t>2 需求分析与系统总体设计</w:t>
      </w:r>
    </w:p>
    <w:p>
      <w:pPr>
        <w:spacing w:line="360" w:lineRule="auto" w:after="60"/>
      </w:pPr>
      <w:r>
        <w:rPr>
          <w:rFonts w:ascii="宋体" w:hAnsi="宋体" w:eastAsia="宋体"/>
          <w:b w:val="0"/>
          <w:color w:val="000000"/>
          <w:sz w:val="24"/>
        </w:rPr>
        <w:t>3 数据集设计与音频预处理</w:t>
      </w:r>
    </w:p>
    <w:p>
      <w:pPr>
        <w:spacing w:line="360" w:lineRule="auto" w:after="60"/>
      </w:pPr>
      <w:r>
        <w:rPr>
          <w:rFonts w:ascii="宋体" w:hAnsi="宋体" w:eastAsia="宋体"/>
          <w:b w:val="0"/>
          <w:color w:val="000000"/>
          <w:sz w:val="24"/>
        </w:rPr>
        <w:t>4 模型结构与关键技术</w:t>
      </w:r>
    </w:p>
    <w:p>
      <w:pPr>
        <w:spacing w:line="360" w:lineRule="auto" w:after="60"/>
      </w:pPr>
      <w:r>
        <w:rPr>
          <w:rFonts w:ascii="宋体" w:hAnsi="宋体" w:eastAsia="宋体"/>
          <w:b w:val="0"/>
          <w:color w:val="000000"/>
          <w:sz w:val="24"/>
        </w:rPr>
        <w:t>5 模型训练与实现过程</w:t>
      </w:r>
    </w:p>
    <w:p>
      <w:pPr>
        <w:spacing w:line="360" w:lineRule="auto" w:after="60"/>
      </w:pPr>
      <w:r>
        <w:rPr>
          <w:rFonts w:ascii="宋体" w:hAnsi="宋体" w:eastAsia="宋体"/>
          <w:b w:val="0"/>
          <w:color w:val="000000"/>
          <w:sz w:val="24"/>
        </w:rPr>
        <w:t>6 实现效果及分析</w:t>
      </w:r>
    </w:p>
    <w:p>
      <w:pPr>
        <w:spacing w:line="360" w:lineRule="auto" w:after="60"/>
      </w:pPr>
      <w:r>
        <w:rPr>
          <w:rFonts w:ascii="宋体" w:hAnsi="宋体" w:eastAsia="宋体"/>
          <w:b w:val="0"/>
          <w:color w:val="000000"/>
          <w:sz w:val="24"/>
        </w:rPr>
        <w:t>7 系统演示与部署说明</w:t>
      </w:r>
    </w:p>
    <w:p>
      <w:pPr>
        <w:spacing w:line="360" w:lineRule="auto" w:after="60"/>
      </w:pPr>
      <w:r>
        <w:rPr>
          <w:rFonts w:ascii="宋体" w:hAnsi="宋体" w:eastAsia="宋体"/>
          <w:b w:val="0"/>
          <w:color w:val="000000"/>
          <w:sz w:val="24"/>
        </w:rPr>
        <w:t>8 总结与未来展望</w:t>
      </w:r>
    </w:p>
    <w:p>
      <w:pPr>
        <w:spacing w:line="360" w:lineRule="auto" w:after="60"/>
      </w:pPr>
      <w:r>
        <w:rPr>
          <w:rFonts w:ascii="宋体" w:hAnsi="宋体" w:eastAsia="宋体"/>
          <w:b w:val="0"/>
          <w:color w:val="000000"/>
          <w:sz w:val="24"/>
        </w:rPr>
        <w:t>参考文献</w:t>
      </w:r>
    </w:p>
    <w:p>
      <w:r>
        <w:br w:type="page"/>
      </w:r>
    </w:p>
    <w:p>
      <w:pPr>
        <w:spacing w:before="200" w:after="120"/>
      </w:pPr>
      <w:r>
        <w:rPr>
          <w:rFonts w:ascii="黑体" w:hAnsi="黑体" w:eastAsia="黑体"/>
          <w:b/>
          <w:color w:val="000000"/>
          <w:sz w:val="28"/>
        </w:rPr>
        <w:t>1 项目简介</w:t>
      </w:r>
    </w:p>
    <w:p>
      <w:pPr>
        <w:spacing w:before="120" w:after="80"/>
      </w:pPr>
      <w:r>
        <w:rPr>
          <w:rFonts w:ascii="黑体" w:hAnsi="黑体" w:eastAsia="黑体"/>
          <w:b/>
          <w:color w:val="000000"/>
          <w:sz w:val="24"/>
        </w:rPr>
        <w:t>1.1 项目背景</w:t>
      </w:r>
    </w:p>
    <w:p>
      <w:pPr>
        <w:spacing w:line="360" w:lineRule="auto" w:after="60"/>
        <w:ind w:firstLine="480"/>
      </w:pPr>
      <w:r>
        <w:rPr>
          <w:rFonts w:ascii="宋体" w:hAnsi="宋体" w:eastAsia="宋体"/>
          <w:b w:val="0"/>
          <w:color w:val="000000"/>
          <w:sz w:val="24"/>
        </w:rPr>
        <w:t>在真实语音应用中，用户输入的语音往往并不固定为某一种语言。一个面向多语种用户的系统，需要在后续语音转写、语音翻译或客服分流之前，先判断输入语音属于哪一种语言。如果这一步判断错误，后续选择的识别模型、词表、发音规则和后处理策略都可能不匹配，从而影响整体系统效果。</w:t>
      </w:r>
    </w:p>
    <w:p>
      <w:pPr>
        <w:spacing w:line="360" w:lineRule="auto" w:after="60"/>
        <w:ind w:firstLine="480"/>
      </w:pPr>
      <w:r>
        <w:rPr>
          <w:rFonts w:ascii="宋体" w:hAnsi="宋体" w:eastAsia="宋体"/>
          <w:b w:val="0"/>
          <w:color w:val="000000"/>
          <w:sz w:val="24"/>
        </w:rPr>
        <w:t>语种识别与普通语音转写不同。语音转写关注“说了什么”，语种识别关注“用什么语言说”。它不需要输出文字序列，而是根据语音中的发音模式、音素组合、节奏、停顿和声学特征判断语言类别。本项目选择该方向，既能体现语音识别课程中的音频处理和声学建模内容，也能结合近年预训练语音模型的发展趋势。</w:t>
      </w:r>
    </w:p>
    <w:p>
      <w:pPr>
        <w:spacing w:before="120" w:after="80"/>
      </w:pPr>
      <w:r>
        <w:rPr>
          <w:rFonts w:ascii="黑体" w:hAnsi="黑体" w:eastAsia="黑体"/>
          <w:b/>
          <w:color w:val="000000"/>
          <w:sz w:val="24"/>
        </w:rPr>
        <w:t>1.2 项目意义</w:t>
      </w:r>
    </w:p>
    <w:p>
      <w:pPr>
        <w:spacing w:line="360" w:lineRule="auto" w:after="60"/>
        <w:ind w:firstLine="480"/>
      </w:pPr>
      <w:r>
        <w:rPr>
          <w:rFonts w:ascii="宋体" w:hAnsi="宋体" w:eastAsia="宋体"/>
          <w:b w:val="0"/>
          <w:color w:val="000000"/>
          <w:sz w:val="24"/>
        </w:rPr>
        <w:t>本项目的实际意义在于为多语种语音系统提供前置判断能力。例如，在跨国会议场景中，系统可以先判断发言语种，再调用对应语言的转写模型；在智能客服场景中，系统可以根据语种将用户分配到不同服务队列；在语音数据整理场景中，系统可以自动标注音频语言，减少人工筛选工作。</w:t>
      </w:r>
    </w:p>
    <w:p>
      <w:pPr>
        <w:spacing w:line="360" w:lineRule="auto" w:after="60"/>
        <w:ind w:firstLine="480"/>
      </w:pPr>
      <w:r>
        <w:rPr>
          <w:rFonts w:ascii="宋体" w:hAnsi="宋体" w:eastAsia="宋体"/>
          <w:b w:val="0"/>
          <w:color w:val="000000"/>
          <w:sz w:val="24"/>
        </w:rPr>
        <w:t>从课程项目角度看，本项目不是单纯调用某个现成接口，而是包含数据下载与划分、音频预处理、模型结构设计、训练策略、指标评估和演示部署等环节。通过该项目，可以比较完整地展示语音识别系统从原始音频到模型预测结果的处理过程。</w:t>
      </w:r>
    </w:p>
    <w:p>
      <w:pPr>
        <w:spacing w:before="120" w:after="80"/>
      </w:pPr>
      <w:r>
        <w:rPr>
          <w:rFonts w:ascii="黑体" w:hAnsi="黑体" w:eastAsia="黑体"/>
          <w:b/>
          <w:color w:val="000000"/>
          <w:sz w:val="24"/>
        </w:rPr>
        <w:t>1.3 项目目标</w:t>
      </w:r>
    </w:p>
    <w:p>
      <w:pPr>
        <w:spacing w:line="360" w:lineRule="auto" w:after="60"/>
        <w:ind w:firstLine="480"/>
      </w:pPr>
      <w:r>
        <w:rPr>
          <w:rFonts w:ascii="宋体" w:hAnsi="宋体" w:eastAsia="宋体"/>
          <w:b w:val="0"/>
          <w:color w:val="000000"/>
          <w:sz w:val="24"/>
        </w:rPr>
        <w:t>项目目标包括：构建中文、英文、法语、日语和韩语五个语种的数据；设计统一音频预处理流程；基于 OWSM-CTC v4 预训练语音模型完成五语种分类；通过内部测试和外部测试验证模型效果；完成一个可以现场展示的网页系统，支持上传音频和浏览器录音识别。</w:t>
      </w:r>
    </w:p>
    <w:p>
      <w:pPr>
        <w:spacing w:before="120" w:after="80"/>
      </w:pPr>
      <w:r>
        <w:rPr>
          <w:rFonts w:ascii="黑体" w:hAnsi="黑体" w:eastAsia="黑体"/>
          <w:b/>
          <w:color w:val="000000"/>
          <w:sz w:val="24"/>
        </w:rPr>
        <w:t>1.4 开发环境</w:t>
      </w:r>
    </w:p>
    <w:p>
      <w:pPr>
        <w:spacing w:line="360" w:lineRule="auto" w:after="60"/>
        <w:ind w:firstLine="480"/>
      </w:pPr>
      <w:r>
        <w:rPr>
          <w:rFonts w:ascii="宋体" w:hAnsi="宋体" w:eastAsia="宋体"/>
          <w:b w:val="0"/>
          <w:color w:val="000000"/>
          <w:sz w:val="24"/>
        </w:rPr>
        <w:t>项目主要使用 Python、PyTorch 和 ESPnet 完成模型训练与推理。PyTorch 负责深度学习训练，ESPnet 负责加载 OWSM-CTC v4 预训练语音模型，librosa 和 soundfile 负责音频读取与重采样，scikit-learn 负责分类指标计算。演示系统后端使用 FastAPI，前端使用 React 和 Vite。前端和后端主要用于展示模型能力，不是本报告重点。</w:t>
      </w:r>
    </w:p>
    <w:p>
      <w:pPr>
        <w:spacing w:before="200" w:after="120"/>
      </w:pPr>
      <w:r>
        <w:rPr>
          <w:rFonts w:ascii="黑体" w:hAnsi="黑体" w:eastAsia="黑体"/>
          <w:b/>
          <w:color w:val="000000"/>
          <w:sz w:val="28"/>
        </w:rPr>
        <w:t>2 需求分析与系统总体设计</w:t>
      </w:r>
    </w:p>
    <w:p>
      <w:pPr>
        <w:spacing w:before="120" w:after="80"/>
      </w:pPr>
      <w:r>
        <w:rPr>
          <w:rFonts w:ascii="黑体" w:hAnsi="黑体" w:eastAsia="黑体"/>
          <w:b/>
          <w:color w:val="000000"/>
          <w:sz w:val="24"/>
        </w:rPr>
        <w:t>2.1 功能需求</w:t>
      </w:r>
    </w:p>
    <w:p>
      <w:pPr>
        <w:spacing w:line="360" w:lineRule="auto" w:after="60"/>
        <w:ind w:firstLine="480"/>
      </w:pPr>
      <w:r>
        <w:rPr>
          <w:rFonts w:ascii="宋体" w:hAnsi="宋体" w:eastAsia="宋体"/>
          <w:b w:val="0"/>
          <w:color w:val="000000"/>
          <w:sz w:val="24"/>
        </w:rPr>
        <w:t>系统需要支持用户输入一段语音，并返回预测语种。输入方式包括本地音频上传和浏览器录音。输出结果包括最终预测语种、置信度以及五个语种的概率分布。训练评估部分需要支持数据集划分、模型训练、内部测试、外部测试、混淆矩阵输出和预测结果保存。</w:t>
      </w:r>
    </w:p>
    <w:p>
      <w:pPr>
        <w:spacing w:before="120" w:after="80"/>
      </w:pPr>
      <w:r>
        <w:rPr>
          <w:rFonts w:ascii="黑体" w:hAnsi="黑体" w:eastAsia="黑体"/>
          <w:b/>
          <w:color w:val="000000"/>
          <w:sz w:val="24"/>
        </w:rPr>
        <w:t>2.2 性能需求</w:t>
      </w:r>
    </w:p>
    <w:p>
      <w:pPr>
        <w:spacing w:line="360" w:lineRule="auto" w:after="60"/>
        <w:ind w:firstLine="480"/>
      </w:pPr>
      <w:r>
        <w:rPr>
          <w:rFonts w:ascii="宋体" w:hAnsi="宋体" w:eastAsia="宋体"/>
          <w:b w:val="0"/>
          <w:color w:val="000000"/>
          <w:sz w:val="24"/>
        </w:rPr>
        <w:t>模型需要在当前五个语种范围内具有较高准确率，并且不仅在训练同源数据上表现好，也要在外部数据来源上保持较好效果。由于底层模型规模较大，系统需要通过固定窗口、窗口数量限制和多窗口融合控制显存占用与推理时间。</w:t>
      </w:r>
    </w:p>
    <w:p>
      <w:pPr>
        <w:spacing w:before="120" w:after="80"/>
      </w:pPr>
      <w:r>
        <w:rPr>
          <w:rFonts w:ascii="黑体" w:hAnsi="黑体" w:eastAsia="黑体"/>
          <w:b/>
          <w:color w:val="000000"/>
          <w:sz w:val="24"/>
        </w:rPr>
        <w:t>2.3 总体流程设计</w:t>
      </w:r>
    </w:p>
    <w:p>
      <w:pPr>
        <w:spacing w:line="360" w:lineRule="auto" w:after="60"/>
        <w:ind w:firstLine="480"/>
      </w:pPr>
      <w:r>
        <w:rPr>
          <w:rFonts w:ascii="宋体" w:hAnsi="宋体" w:eastAsia="宋体"/>
          <w:b w:val="0"/>
          <w:color w:val="000000"/>
          <w:sz w:val="24"/>
        </w:rPr>
        <w:t>系统整体流程为：输入音频首先被统一格式和采样率，然后根据固定窗口长度进行补齐或切分；每个音频窗口输入 OWSM-CTC v4 语音编码器，得到帧级语音特征；卷积适配模块对这些特征进行任务适配；时序注意力池化将帧级特征聚合为整段语音表示；角度间隔分类头输出五语种分类结果；长音频通过多个窗口结果平均融合得到最终预测。</w:t>
      </w:r>
    </w:p>
    <w:p>
      <w:pPr>
        <w:spacing w:before="120" w:after="80"/>
      </w:pPr>
      <w:r>
        <w:rPr>
          <w:rFonts w:ascii="黑体" w:hAnsi="黑体" w:eastAsia="黑体"/>
          <w:b/>
          <w:color w:val="000000"/>
          <w:sz w:val="24"/>
        </w:rPr>
        <w:t>2.4 模块划分</w:t>
      </w:r>
    </w:p>
    <w:p>
      <w:pPr>
        <w:spacing w:line="360" w:lineRule="auto" w:after="60"/>
        <w:ind w:firstLine="480"/>
      </w:pPr>
      <w:r>
        <w:rPr>
          <w:rFonts w:ascii="宋体" w:hAnsi="宋体" w:eastAsia="宋体"/>
          <w:b w:val="0"/>
          <w:color w:val="000000"/>
          <w:sz w:val="24"/>
        </w:rPr>
        <w:t>项目可以分为数据处理模块、模型训练模块、模型评估模块和推理展示模块。数据处理模块负责音频扫描、读取、重采样、切窗和增强；模型训练模块负责构建分类网络、优化参数和保存最佳模型；模型评估模块负责计算准确率、精确率、召回率、F1 值和混淆矩阵；推理展示模块负责加载训练好的模型，并通过网页向用户展示识别结果。</w:t>
      </w:r>
    </w:p>
    <w:p>
      <w:pPr>
        <w:spacing w:before="120" w:after="80"/>
      </w:pPr>
      <w:r>
        <w:rPr>
          <w:rFonts w:ascii="黑体" w:hAnsi="黑体" w:eastAsia="黑体"/>
          <w:b/>
          <w:color w:val="000000"/>
          <w:sz w:val="24"/>
        </w:rPr>
        <w:t>2.5 设计取舍</w:t>
      </w:r>
    </w:p>
    <w:p>
      <w:pPr>
        <w:spacing w:line="360" w:lineRule="auto" w:after="60"/>
        <w:ind w:firstLine="480"/>
      </w:pPr>
      <w:r>
        <w:rPr>
          <w:rFonts w:ascii="宋体" w:hAnsi="宋体" w:eastAsia="宋体"/>
          <w:b w:val="0"/>
          <w:color w:val="000000"/>
          <w:sz w:val="24"/>
        </w:rPr>
        <w:t>项目选择大规模预训练模型作为特征提取器，是为了获得更强的多语种语音表示能力；选择冻结主干，是为了降低训练成本和过拟合风险；选择多窗口融合，是为了适应不同长度音频；选择外部测试，是为了验证模型是否具备泛化能力。这些设计体现了准确率、训练成本、推理速度和课程演示之间的平衡。</w:t>
      </w:r>
    </w:p>
    <w:p>
      <w:pPr>
        <w:spacing w:before="200" w:after="120"/>
      </w:pPr>
      <w:r>
        <w:rPr>
          <w:rFonts w:ascii="黑体" w:hAnsi="黑体" w:eastAsia="黑体"/>
          <w:b/>
          <w:color w:val="000000"/>
          <w:sz w:val="28"/>
        </w:rPr>
        <w:t>3 数据集设计与音频预处理</w:t>
      </w:r>
    </w:p>
    <w:p>
      <w:pPr>
        <w:spacing w:before="120" w:after="80"/>
      </w:pPr>
      <w:r>
        <w:rPr>
          <w:rFonts w:ascii="黑体" w:hAnsi="黑体" w:eastAsia="黑体"/>
          <w:b/>
          <w:color w:val="000000"/>
          <w:sz w:val="24"/>
        </w:rPr>
        <w:t>3.1 数据集来源</w:t>
      </w:r>
    </w:p>
    <w:p>
      <w:pPr>
        <w:spacing w:line="360" w:lineRule="auto" w:after="60"/>
        <w:ind w:firstLine="480"/>
      </w:pPr>
      <w:r>
        <w:rPr>
          <w:rFonts w:ascii="宋体" w:hAnsi="宋体" w:eastAsia="宋体"/>
          <w:b w:val="0"/>
          <w:color w:val="000000"/>
          <w:sz w:val="24"/>
        </w:rPr>
        <w:t>项目使用 FLEURS 和 VoxLingua107 两类公开数据。FLEURS 数据用于构建基础训练、验证和同源测试，特点是语种标签清晰、数据格式相对规范。VoxLingua107 数据更接近真实网络语音，包含更多说话人、录音设备和环境变化，因此用于域适配和外部测试。</w:t>
      </w:r>
    </w:p>
    <w:p>
      <w:pPr>
        <w:spacing w:before="120" w:after="80"/>
      </w:pPr>
      <w:r>
        <w:rPr>
          <w:rFonts w:ascii="黑体" w:hAnsi="黑体" w:eastAsia="黑体"/>
          <w:b/>
          <w:color w:val="000000"/>
          <w:sz w:val="24"/>
        </w:rPr>
        <w:t>3.2 数据划分原则</w:t>
      </w:r>
    </w:p>
    <w:p>
      <w:pPr>
        <w:spacing w:line="360" w:lineRule="auto" w:after="60"/>
        <w:ind w:firstLine="480"/>
      </w:pPr>
      <w:r>
        <w:rPr>
          <w:rFonts w:ascii="宋体" w:hAnsi="宋体" w:eastAsia="宋体"/>
          <w:b w:val="0"/>
          <w:color w:val="000000"/>
          <w:sz w:val="24"/>
        </w:rPr>
        <w:t>数据划分时尽量保持五个语种样本数量均衡，避免模型因为类别数量差异偏向某一个语种。内部测试集用于检查模型在同源数据上的学习效果，外部测试集不参与训练，用于检验模型在不同数据来源上的泛化能力。</w:t>
      </w:r>
    </w:p>
    <w:p>
      <w:pPr>
        <w:jc w:val="center"/>
      </w:pPr>
      <w:r>
        <w:rPr>
          <w:rFonts w:ascii="黑体" w:hAnsi="黑体" w:eastAsia="黑体"/>
          <w:b/>
          <w:color w:val="000000"/>
          <w:sz w:val="18"/>
        </w:rPr>
        <w:t>表1 数据集使用情况</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jc w:val="center"/>
            </w:pPr>
            <w:r/>
            <w:r>
              <w:rPr>
                <w:rFonts w:ascii="宋体" w:hAnsi="宋体" w:eastAsia="宋体"/>
                <w:b/>
                <w:color w:val="000000"/>
                <w:sz w:val="18"/>
              </w:rPr>
              <w:t>数据来源</w:t>
            </w:r>
          </w:p>
        </w:tc>
        <w:tc>
          <w:tcPr>
            <w:tcW w:type="dxa" w:w="2340"/>
            <w:vAlign w:val="center"/>
            <w:shd w:fill="D9EAF7"/>
          </w:tcPr>
          <w:p>
            <w:pPr>
              <w:jc w:val="center"/>
            </w:pPr>
            <w:r/>
            <w:r>
              <w:rPr>
                <w:rFonts w:ascii="宋体" w:hAnsi="宋体" w:eastAsia="宋体"/>
                <w:b/>
                <w:color w:val="000000"/>
                <w:sz w:val="18"/>
              </w:rPr>
              <w:t>用途</w:t>
            </w:r>
          </w:p>
        </w:tc>
        <w:tc>
          <w:tcPr>
            <w:tcW w:type="dxa" w:w="2340"/>
            <w:vAlign w:val="center"/>
            <w:shd w:fill="D9EAF7"/>
          </w:tcPr>
          <w:p>
            <w:pPr>
              <w:jc w:val="center"/>
            </w:pPr>
            <w:r/>
            <w:r>
              <w:rPr>
                <w:rFonts w:ascii="宋体" w:hAnsi="宋体" w:eastAsia="宋体"/>
                <w:b/>
                <w:color w:val="000000"/>
                <w:sz w:val="18"/>
              </w:rPr>
              <w:t>语种范围</w:t>
            </w:r>
          </w:p>
        </w:tc>
        <w:tc>
          <w:tcPr>
            <w:tcW w:type="dxa" w:w="2340"/>
            <w:vAlign w:val="center"/>
            <w:shd w:fill="D9EAF7"/>
          </w:tcPr>
          <w:p>
            <w:pPr>
              <w:jc w:val="center"/>
            </w:pPr>
            <w:r/>
            <w:r>
              <w:rPr>
                <w:rFonts w:ascii="宋体" w:hAnsi="宋体" w:eastAsia="宋体"/>
                <w:b/>
                <w:color w:val="000000"/>
                <w:sz w:val="18"/>
              </w:rPr>
              <w:t>样本规模</w:t>
            </w:r>
          </w:p>
        </w:tc>
      </w:tr>
      <w:tr>
        <w:tc>
          <w:tcPr>
            <w:tcW w:type="dxa" w:w="2340"/>
            <w:vAlign w:val="center"/>
          </w:tcPr>
          <w:p>
            <w:pPr>
              <w:jc w:val="center"/>
            </w:pPr>
            <w:r/>
            <w:r>
              <w:rPr>
                <w:rFonts w:ascii="宋体" w:hAnsi="宋体" w:eastAsia="宋体"/>
                <w:b w:val="0"/>
                <w:color w:val="000000"/>
                <w:sz w:val="18"/>
              </w:rPr>
              <w:t>FLEURS 五语种子集</w:t>
            </w:r>
          </w:p>
        </w:tc>
        <w:tc>
          <w:tcPr>
            <w:tcW w:type="dxa" w:w="2340"/>
            <w:vAlign w:val="center"/>
          </w:tcPr>
          <w:p>
            <w:pPr>
              <w:jc w:val="center"/>
            </w:pPr>
            <w:r/>
            <w:r>
              <w:rPr>
                <w:rFonts w:ascii="宋体" w:hAnsi="宋体" w:eastAsia="宋体"/>
                <w:b w:val="0"/>
                <w:color w:val="000000"/>
                <w:sz w:val="18"/>
              </w:rPr>
              <w:t>基础训练、验证、同源测试</w:t>
            </w:r>
          </w:p>
        </w:tc>
        <w:tc>
          <w:tcPr>
            <w:tcW w:type="dxa" w:w="2340"/>
            <w:vAlign w:val="center"/>
          </w:tcPr>
          <w:p>
            <w:pPr>
              <w:jc w:val="center"/>
            </w:pPr>
            <w:r/>
            <w:r>
              <w:rPr>
                <w:rFonts w:ascii="宋体" w:hAnsi="宋体" w:eastAsia="宋体"/>
                <w:b w:val="0"/>
                <w:color w:val="000000"/>
                <w:sz w:val="18"/>
              </w:rPr>
              <w:t>中文、英文、法语、日语、韩语</w:t>
            </w:r>
          </w:p>
        </w:tc>
        <w:tc>
          <w:tcPr>
            <w:tcW w:type="dxa" w:w="2340"/>
            <w:vAlign w:val="center"/>
          </w:tcPr>
          <w:p>
            <w:pPr>
              <w:jc w:val="center"/>
            </w:pPr>
            <w:r/>
            <w:r>
              <w:rPr>
                <w:rFonts w:ascii="宋体" w:hAnsi="宋体" w:eastAsia="宋体"/>
                <w:b w:val="0"/>
                <w:color w:val="000000"/>
                <w:sz w:val="18"/>
              </w:rPr>
              <w:t>内部测试 750 条，每类 150 条</w:t>
            </w:r>
          </w:p>
        </w:tc>
      </w:tr>
      <w:tr>
        <w:tc>
          <w:tcPr>
            <w:tcW w:type="dxa" w:w="2340"/>
            <w:vAlign w:val="center"/>
          </w:tcPr>
          <w:p>
            <w:pPr>
              <w:jc w:val="center"/>
            </w:pPr>
            <w:r/>
            <w:r>
              <w:rPr>
                <w:rFonts w:ascii="宋体" w:hAnsi="宋体" w:eastAsia="宋体"/>
                <w:b w:val="0"/>
                <w:color w:val="000000"/>
                <w:sz w:val="18"/>
              </w:rPr>
              <w:t>VoxLingua107 训练/验证切分</w:t>
            </w:r>
          </w:p>
        </w:tc>
        <w:tc>
          <w:tcPr>
            <w:tcW w:type="dxa" w:w="2340"/>
            <w:vAlign w:val="center"/>
          </w:tcPr>
          <w:p>
            <w:pPr>
              <w:jc w:val="center"/>
            </w:pPr>
            <w:r/>
            <w:r>
              <w:rPr>
                <w:rFonts w:ascii="宋体" w:hAnsi="宋体" w:eastAsia="宋体"/>
                <w:b w:val="0"/>
                <w:color w:val="000000"/>
                <w:sz w:val="18"/>
              </w:rPr>
              <w:t>域适配训练与验证</w:t>
            </w:r>
          </w:p>
        </w:tc>
        <w:tc>
          <w:tcPr>
            <w:tcW w:type="dxa" w:w="2340"/>
            <w:vAlign w:val="center"/>
          </w:tcPr>
          <w:p>
            <w:pPr>
              <w:jc w:val="center"/>
            </w:pPr>
            <w:r/>
            <w:r>
              <w:rPr>
                <w:rFonts w:ascii="宋体" w:hAnsi="宋体" w:eastAsia="宋体"/>
                <w:b w:val="0"/>
                <w:color w:val="000000"/>
                <w:sz w:val="18"/>
              </w:rPr>
              <w:t>同上</w:t>
            </w:r>
          </w:p>
        </w:tc>
        <w:tc>
          <w:tcPr>
            <w:tcW w:type="dxa" w:w="2340"/>
            <w:vAlign w:val="center"/>
          </w:tcPr>
          <w:p>
            <w:pPr>
              <w:jc w:val="center"/>
            </w:pPr>
            <w:r/>
            <w:r>
              <w:rPr>
                <w:rFonts w:ascii="宋体" w:hAnsi="宋体" w:eastAsia="宋体"/>
                <w:b w:val="0"/>
                <w:color w:val="000000"/>
                <w:sz w:val="18"/>
              </w:rPr>
              <w:t>每类最多 200 条训练、100 条验证</w:t>
            </w:r>
          </w:p>
        </w:tc>
      </w:tr>
      <w:tr>
        <w:tc>
          <w:tcPr>
            <w:tcW w:type="dxa" w:w="2340"/>
            <w:vAlign w:val="center"/>
          </w:tcPr>
          <w:p>
            <w:pPr>
              <w:jc w:val="center"/>
            </w:pPr>
            <w:r/>
            <w:r>
              <w:rPr>
                <w:rFonts w:ascii="宋体" w:hAnsi="宋体" w:eastAsia="宋体"/>
                <w:b w:val="0"/>
                <w:color w:val="000000"/>
                <w:sz w:val="18"/>
              </w:rPr>
              <w:t>VoxLingua107 保留测试切分</w:t>
            </w:r>
          </w:p>
        </w:tc>
        <w:tc>
          <w:tcPr>
            <w:tcW w:type="dxa" w:w="2340"/>
            <w:vAlign w:val="center"/>
          </w:tcPr>
          <w:p>
            <w:pPr>
              <w:jc w:val="center"/>
            </w:pPr>
            <w:r/>
            <w:r>
              <w:rPr>
                <w:rFonts w:ascii="宋体" w:hAnsi="宋体" w:eastAsia="宋体"/>
                <w:b w:val="0"/>
                <w:color w:val="000000"/>
                <w:sz w:val="18"/>
              </w:rPr>
              <w:t>外部泛化测试</w:t>
            </w:r>
          </w:p>
        </w:tc>
        <w:tc>
          <w:tcPr>
            <w:tcW w:type="dxa" w:w="2340"/>
            <w:vAlign w:val="center"/>
          </w:tcPr>
          <w:p>
            <w:pPr>
              <w:jc w:val="center"/>
            </w:pPr>
            <w:r/>
            <w:r>
              <w:rPr>
                <w:rFonts w:ascii="宋体" w:hAnsi="宋体" w:eastAsia="宋体"/>
                <w:b w:val="0"/>
                <w:color w:val="000000"/>
                <w:sz w:val="18"/>
              </w:rPr>
              <w:t>同上</w:t>
            </w:r>
          </w:p>
        </w:tc>
        <w:tc>
          <w:tcPr>
            <w:tcW w:type="dxa" w:w="2340"/>
            <w:vAlign w:val="center"/>
          </w:tcPr>
          <w:p>
            <w:pPr>
              <w:jc w:val="center"/>
            </w:pPr>
            <w:r/>
            <w:r>
              <w:rPr>
                <w:rFonts w:ascii="宋体" w:hAnsi="宋体" w:eastAsia="宋体"/>
                <w:b w:val="0"/>
                <w:color w:val="000000"/>
                <w:sz w:val="18"/>
              </w:rPr>
              <w:t>10000 条，每类 2000 条</w:t>
            </w:r>
          </w:p>
        </w:tc>
      </w:tr>
    </w:tbl>
    <w:p>
      <w:pPr>
        <w:spacing w:before="120" w:after="80"/>
      </w:pPr>
      <w:r>
        <w:rPr>
          <w:rFonts w:ascii="黑体" w:hAnsi="黑体" w:eastAsia="黑体"/>
          <w:b/>
          <w:color w:val="000000"/>
          <w:sz w:val="24"/>
        </w:rPr>
        <w:t>3.3 采样率和声道统一</w:t>
      </w:r>
    </w:p>
    <w:p>
      <w:pPr>
        <w:spacing w:line="360" w:lineRule="auto" w:after="60"/>
        <w:ind w:firstLine="480"/>
      </w:pPr>
      <w:r>
        <w:rPr>
          <w:rFonts w:ascii="宋体" w:hAnsi="宋体" w:eastAsia="宋体"/>
          <w:b w:val="0"/>
          <w:color w:val="000000"/>
          <w:sz w:val="24"/>
        </w:rPr>
        <w:t>不同来源音频可能具有不同采样率、声道数和编码格式。为了保证模型输入一致，系统将所有音频统一为单声道 16kHz。16kHz 是语音识别任务中常见采样率，能够保留主要语音信息，同时计算量相对可控。单声道处理减少了左右声道差异，使模型更关注语言本身。</w:t>
      </w:r>
    </w:p>
    <w:p>
      <w:pPr>
        <w:spacing w:before="120" w:after="80"/>
      </w:pPr>
      <w:r>
        <w:rPr>
          <w:rFonts w:ascii="黑体" w:hAnsi="黑体" w:eastAsia="黑体"/>
          <w:b/>
          <w:color w:val="000000"/>
          <w:sz w:val="24"/>
        </w:rPr>
        <w:t>3.4 音量归一化</w:t>
      </w:r>
    </w:p>
    <w:p>
      <w:pPr>
        <w:spacing w:line="360" w:lineRule="auto" w:after="60"/>
        <w:ind w:firstLine="480"/>
      </w:pPr>
      <w:r>
        <w:rPr>
          <w:rFonts w:ascii="宋体" w:hAnsi="宋体" w:eastAsia="宋体"/>
          <w:b w:val="0"/>
          <w:color w:val="000000"/>
          <w:sz w:val="24"/>
        </w:rPr>
        <w:t>录音音量会受到麦克风距离、设备增益和说话人音量影响。如果不做处理，模型可能把音量差异误当作类别特征。音量归一化的作用是把不同音频调整到相对一致的幅度范围，使模型更多关注发音、节奏和语音结构，而不是录音响度。</w:t>
      </w:r>
    </w:p>
    <w:p>
      <w:pPr>
        <w:spacing w:before="120" w:after="80"/>
      </w:pPr>
      <w:r>
        <w:rPr>
          <w:rFonts w:ascii="黑体" w:hAnsi="黑体" w:eastAsia="黑体"/>
          <w:b/>
          <w:color w:val="000000"/>
          <w:sz w:val="24"/>
        </w:rPr>
        <w:t>3.5 固定窗口切分</w:t>
      </w:r>
    </w:p>
    <w:p>
      <w:pPr>
        <w:spacing w:line="360" w:lineRule="auto" w:after="60"/>
        <w:ind w:firstLine="480"/>
      </w:pPr>
      <w:r>
        <w:rPr>
          <w:rFonts w:ascii="宋体" w:hAnsi="宋体" w:eastAsia="宋体"/>
          <w:b w:val="0"/>
          <w:color w:val="000000"/>
          <w:sz w:val="24"/>
        </w:rPr>
        <w:t>本项目采用 10 秒固定窗口。短音频会补齐到窗口长度，长音频会按照 5 秒步长切分为多个重叠窗口。重叠窗口可以减少重要语音片段被切在边界上的影响。评估和推理阶段，系统会对多个窗口分别预测，再融合这些窗口的概率分布。</w:t>
      </w:r>
    </w:p>
    <w:p>
      <w:pPr>
        <w:spacing w:line="360" w:lineRule="auto" w:after="60"/>
        <w:ind w:firstLine="480"/>
      </w:pPr>
      <w:r>
        <w:rPr>
          <w:rFonts w:ascii="宋体" w:hAnsi="宋体" w:eastAsia="宋体"/>
          <w:b w:val="0"/>
          <w:color w:val="000000"/>
          <w:sz w:val="24"/>
        </w:rPr>
        <w:t>固定窗口设计也和显存控制有关。OWSM v4 是大规模模型，如果直接输入过长音频，显存占用和推理时间会明显增加，甚至可能出现显存不足。因此，窗口切分既是音频处理方法，也是工程上的稳定性设计。</w:t>
      </w:r>
    </w:p>
    <w:p>
      <w:pPr>
        <w:spacing w:before="120" w:after="80"/>
      </w:pPr>
      <w:r>
        <w:rPr>
          <w:rFonts w:ascii="黑体" w:hAnsi="黑体" w:eastAsia="黑体"/>
          <w:b/>
          <w:color w:val="000000"/>
          <w:sz w:val="24"/>
        </w:rPr>
        <w:t>3.6 数据增强设计</w:t>
      </w:r>
    </w:p>
    <w:p>
      <w:pPr>
        <w:spacing w:line="360" w:lineRule="auto" w:after="60"/>
        <w:ind w:firstLine="480"/>
      </w:pPr>
      <w:r>
        <w:rPr>
          <w:rFonts w:ascii="宋体" w:hAnsi="宋体" w:eastAsia="宋体"/>
          <w:b w:val="0"/>
          <w:color w:val="000000"/>
          <w:sz w:val="24"/>
        </w:rPr>
        <w:t>训练阶段使用轻量数据增强，包括音量扰动、时间平移、轻微噪声和随机裁剪。音量扰动模拟不同录音音量；时间平移模拟说话开始时间不同；轻微噪声模拟背景环境；随机裁剪让模型不要固定依赖某一段语音。这些增强不会改变语种标签，但可以提升模型面对真实录音变化时的稳定性。</w:t>
      </w:r>
    </w:p>
    <w:p>
      <w:pPr>
        <w:spacing w:before="200" w:after="120"/>
      </w:pPr>
      <w:r>
        <w:rPr>
          <w:rFonts w:ascii="黑体" w:hAnsi="黑体" w:eastAsia="黑体"/>
          <w:b/>
          <w:color w:val="000000"/>
          <w:sz w:val="28"/>
        </w:rPr>
        <w:t>4 模型结构与关键技术</w:t>
      </w:r>
    </w:p>
    <w:p>
      <w:pPr>
        <w:spacing w:before="120" w:after="80"/>
      </w:pPr>
      <w:r>
        <w:rPr>
          <w:rFonts w:ascii="黑体" w:hAnsi="黑体" w:eastAsia="黑体"/>
          <w:b/>
          <w:color w:val="000000"/>
          <w:sz w:val="24"/>
        </w:rPr>
        <w:t>4.1 OWSM-CTC v4 语音编码器</w:t>
      </w:r>
    </w:p>
    <w:p>
      <w:pPr>
        <w:spacing w:line="360" w:lineRule="auto" w:after="60"/>
        <w:ind w:firstLine="480"/>
      </w:pPr>
      <w:r>
        <w:rPr>
          <w:rFonts w:ascii="宋体" w:hAnsi="宋体" w:eastAsia="宋体"/>
          <w:b w:val="0"/>
          <w:color w:val="000000"/>
          <w:sz w:val="24"/>
        </w:rPr>
        <w:t>OWSM-CTC v4 是近年开放的多语种语音基础模型。它的编码器能够把原始语音波形转换为高层语音表示，这些表示包含发音、音素、节奏、停顿和语音模式等信息。本项目不使用它的文字识别输出，而是使用编码器输出的语音特征做分类。</w:t>
      </w:r>
    </w:p>
    <w:p>
      <w:pPr>
        <w:spacing w:line="360" w:lineRule="auto" w:after="60"/>
        <w:ind w:firstLine="480"/>
      </w:pPr>
      <w:r>
        <w:rPr>
          <w:rFonts w:ascii="宋体" w:hAnsi="宋体" w:eastAsia="宋体"/>
          <w:b w:val="0"/>
          <w:color w:val="000000"/>
          <w:sz w:val="24"/>
        </w:rPr>
        <w:t>这种做法是合理的，因为语种识别并不要求知道具体文字内容，只要求判断语音属于哪种语言。预训练语音编码器已经学习到跨语言的声学规律，因此可以作为语种识别任务的强特征提取器。</w:t>
      </w:r>
    </w:p>
    <w:p>
      <w:pPr>
        <w:spacing w:before="120" w:after="80"/>
      </w:pPr>
      <w:r>
        <w:rPr>
          <w:rFonts w:ascii="黑体" w:hAnsi="黑体" w:eastAsia="黑体"/>
          <w:b/>
          <w:color w:val="000000"/>
          <w:sz w:val="24"/>
        </w:rPr>
        <w:t>4.2 冻结主干策略</w:t>
      </w:r>
    </w:p>
    <w:p>
      <w:pPr>
        <w:spacing w:line="360" w:lineRule="auto" w:after="60"/>
        <w:ind w:firstLine="480"/>
      </w:pPr>
      <w:r>
        <w:rPr>
          <w:rFonts w:ascii="宋体" w:hAnsi="宋体" w:eastAsia="宋体"/>
          <w:b w:val="0"/>
          <w:color w:val="000000"/>
          <w:sz w:val="24"/>
        </w:rPr>
        <w:t>训练时冻结 OWSM 主干参数，只训练后续轻量模块。这样设计有三个原因：第一，OWSM v4 模型规模大，全量微调成本高；第二，课程项目数据量有限，全量微调容易过拟合；第三，冻结主干可以保留预训练模型已有的多语种语音知识，使训练更稳定。</w:t>
      </w:r>
    </w:p>
    <w:p>
      <w:pPr>
        <w:spacing w:before="120" w:after="80"/>
      </w:pPr>
      <w:r>
        <w:rPr>
          <w:rFonts w:ascii="黑体" w:hAnsi="黑体" w:eastAsia="黑体"/>
          <w:b/>
          <w:color w:val="000000"/>
          <w:sz w:val="24"/>
        </w:rPr>
        <w:t>4.3 卷积适配模块</w:t>
      </w:r>
    </w:p>
    <w:p>
      <w:pPr>
        <w:spacing w:line="360" w:lineRule="auto" w:after="60"/>
        <w:ind w:firstLine="480"/>
      </w:pPr>
      <w:r>
        <w:rPr>
          <w:rFonts w:ascii="宋体" w:hAnsi="宋体" w:eastAsia="宋体"/>
          <w:b w:val="0"/>
          <w:color w:val="000000"/>
          <w:sz w:val="24"/>
        </w:rPr>
        <w:t>卷积适配模块位于 OWSM 特征之后，用于把通用语音特征调整为更适合语种分类的特征。卷积结构擅长捕捉局部时间模式，例如短时发音变化、音素组合和语音节奏。不同语言在这些局部模式上有差异，因此卷积适配模块能帮助模型学习语种相关信息。</w:t>
      </w:r>
    </w:p>
    <w:p>
      <w:pPr>
        <w:spacing w:line="360" w:lineRule="auto" w:after="60"/>
        <w:ind w:firstLine="480"/>
      </w:pPr>
      <w:r>
        <w:rPr>
          <w:rFonts w:ascii="宋体" w:hAnsi="宋体" w:eastAsia="宋体"/>
          <w:b w:val="0"/>
          <w:color w:val="000000"/>
          <w:sz w:val="24"/>
        </w:rPr>
        <w:t>适配模块采用瓶颈思想，先压缩特征维度，再恢复到目标维度。这种结构参数量较小，训练成本低，适合在冻结大模型后进行参数高效微调。</w:t>
      </w:r>
    </w:p>
    <w:p>
      <w:pPr>
        <w:spacing w:before="120" w:after="80"/>
      </w:pPr>
      <w:r>
        <w:rPr>
          <w:rFonts w:ascii="黑体" w:hAnsi="黑体" w:eastAsia="黑体"/>
          <w:b/>
          <w:color w:val="000000"/>
          <w:sz w:val="24"/>
        </w:rPr>
        <w:t>4.4 时序注意力池化</w:t>
      </w:r>
    </w:p>
    <w:p>
      <w:pPr>
        <w:spacing w:line="360" w:lineRule="auto" w:after="60"/>
        <w:ind w:firstLine="480"/>
      </w:pPr>
      <w:r>
        <w:rPr>
          <w:rFonts w:ascii="宋体" w:hAnsi="宋体" w:eastAsia="宋体"/>
          <w:b w:val="0"/>
          <w:color w:val="000000"/>
          <w:sz w:val="24"/>
        </w:rPr>
        <w:t>OWSM 输出的是随时间变化的一串帧级特征，但分类结果需要整段语音级别的表示。时序注意力池化用于把多帧特征聚合成一个固定长度向量。相比直接平均，它可以自动学习哪些时间片段更重要，从而减少静音、停顿和噪声片段的干扰。</w:t>
      </w:r>
    </w:p>
    <w:p>
      <w:pPr>
        <w:spacing w:line="360" w:lineRule="auto" w:after="60"/>
        <w:ind w:firstLine="480"/>
      </w:pPr>
      <w:r>
        <w:rPr>
          <w:rFonts w:ascii="宋体" w:hAnsi="宋体" w:eastAsia="宋体"/>
          <w:b w:val="0"/>
          <w:color w:val="000000"/>
          <w:sz w:val="24"/>
        </w:rPr>
        <w:t>在答辩中可以把它理解为模型的“重点片段选择”能力。系统不是把整段音频平均处理，而是让模型自动关注更能体现语言特征的片段。</w:t>
      </w:r>
    </w:p>
    <w:p>
      <w:pPr>
        <w:spacing w:before="120" w:after="80"/>
      </w:pPr>
      <w:r>
        <w:rPr>
          <w:rFonts w:ascii="黑体" w:hAnsi="黑体" w:eastAsia="黑体"/>
          <w:b/>
          <w:color w:val="000000"/>
          <w:sz w:val="24"/>
        </w:rPr>
        <w:t>4.5 角度间隔分类头</w:t>
      </w:r>
    </w:p>
    <w:p>
      <w:pPr>
        <w:spacing w:line="360" w:lineRule="auto" w:after="60"/>
        <w:ind w:firstLine="480"/>
      </w:pPr>
      <w:r>
        <w:rPr>
          <w:rFonts w:ascii="宋体" w:hAnsi="宋体" w:eastAsia="宋体"/>
          <w:b w:val="0"/>
          <w:color w:val="000000"/>
          <w:sz w:val="24"/>
        </w:rPr>
        <w:t>角度间隔分类头用于增强类别之间的分离度。普通分类头只要求样本被分到正确类别，而角度间隔分类头进一步要求不同类别在特征空间中保持更明显的边界。同一语种的语音表示会更集中，不同语种之间距离更大。</w:t>
      </w:r>
    </w:p>
    <w:p>
      <w:pPr>
        <w:spacing w:line="360" w:lineRule="auto" w:after="60"/>
        <w:ind w:firstLine="480"/>
      </w:pPr>
      <w:r>
        <w:rPr>
          <w:rFonts w:ascii="宋体" w:hAnsi="宋体" w:eastAsia="宋体"/>
          <w:b w:val="0"/>
          <w:color w:val="000000"/>
          <w:sz w:val="24"/>
        </w:rPr>
        <w:t>这对语种识别有实际帮助。日语和韩语等语种可能存在部分相似的节奏或发音结构，角度间隔约束可以让模型学到更清晰的类别边界，降低相近语种混淆。</w:t>
      </w:r>
    </w:p>
    <w:p>
      <w:pPr>
        <w:spacing w:before="120" w:after="80"/>
      </w:pPr>
      <w:r>
        <w:rPr>
          <w:rFonts w:ascii="黑体" w:hAnsi="黑体" w:eastAsia="黑体"/>
          <w:b/>
          <w:color w:val="000000"/>
          <w:sz w:val="24"/>
        </w:rPr>
        <w:t>4.6 多窗口概率融合</w:t>
      </w:r>
    </w:p>
    <w:p>
      <w:pPr>
        <w:spacing w:line="360" w:lineRule="auto" w:after="60"/>
        <w:ind w:firstLine="480"/>
      </w:pPr>
      <w:r>
        <w:rPr>
          <w:rFonts w:ascii="宋体" w:hAnsi="宋体" w:eastAsia="宋体"/>
          <w:b w:val="0"/>
          <w:color w:val="000000"/>
          <w:sz w:val="24"/>
        </w:rPr>
        <w:t>对于较长音频，系统不会只选取第一段进行判断，而是将音频切成多个窗口，对每个窗口分别预测，再平均多个窗口的概率结果。这样可以利用整段音频中的更多信息，提高长音频预测稳定性。</w:t>
      </w:r>
    </w:p>
    <w:p>
      <w:pPr>
        <w:spacing w:before="200" w:after="120"/>
      </w:pPr>
      <w:r>
        <w:rPr>
          <w:rFonts w:ascii="黑体" w:hAnsi="黑体" w:eastAsia="黑体"/>
          <w:b/>
          <w:color w:val="000000"/>
          <w:sz w:val="28"/>
        </w:rPr>
        <w:t>5 模型训练与实现过程</w:t>
      </w:r>
    </w:p>
    <w:p>
      <w:pPr>
        <w:spacing w:before="120" w:after="80"/>
      </w:pPr>
      <w:r>
        <w:rPr>
          <w:rFonts w:ascii="黑体" w:hAnsi="黑体" w:eastAsia="黑体"/>
          <w:b/>
          <w:color w:val="000000"/>
          <w:sz w:val="24"/>
        </w:rPr>
        <w:t>5.1 训练目标</w:t>
      </w:r>
    </w:p>
    <w:p>
      <w:pPr>
        <w:spacing w:line="360" w:lineRule="auto" w:after="60"/>
        <w:ind w:firstLine="480"/>
      </w:pPr>
      <w:r>
        <w:rPr>
          <w:rFonts w:ascii="宋体" w:hAnsi="宋体" w:eastAsia="宋体"/>
          <w:b w:val="0"/>
          <w:color w:val="000000"/>
          <w:sz w:val="24"/>
        </w:rPr>
        <w:t>训练目标是五分类任务。每条语音对应一个语种标签，模型输出五个语种的分类得分，通过分类损失优化可训练模块。由于 OWSM 主干被冻结，训练主要集中在卷积适配模块、池化模块、嵌入层和分类头上。</w:t>
      </w:r>
    </w:p>
    <w:p>
      <w:pPr>
        <w:spacing w:before="120" w:after="80"/>
      </w:pPr>
      <w:r>
        <w:rPr>
          <w:rFonts w:ascii="黑体" w:hAnsi="黑体" w:eastAsia="黑体"/>
          <w:b/>
          <w:color w:val="000000"/>
          <w:sz w:val="24"/>
        </w:rPr>
        <w:t>5.2 训练参数设置</w:t>
      </w:r>
    </w:p>
    <w:p>
      <w:pPr>
        <w:spacing w:line="360" w:lineRule="auto" w:after="60"/>
        <w:ind w:firstLine="480"/>
      </w:pPr>
      <w:r>
        <w:rPr>
          <w:rFonts w:ascii="宋体" w:hAnsi="宋体" w:eastAsia="宋体"/>
          <w:b w:val="0"/>
          <w:color w:val="000000"/>
          <w:sz w:val="24"/>
        </w:rPr>
        <w:t>当前训练最多 8 个轮次，窗口长度为 10 秒，窗口步长为 5 秒。由于 OWSM v4 模型较大，实际批大小设置为 1，并使用 8 步梯度累积，使多个小批次累积后再更新参数。学习率为 1e-4，权重衰减为 1e-2，标签平滑为 0.08，最大梯度范数为 1.0。</w:t>
      </w:r>
    </w:p>
    <w:p>
      <w:pPr>
        <w:jc w:val="center"/>
      </w:pPr>
      <w:r>
        <w:rPr>
          <w:rFonts w:ascii="黑体" w:hAnsi="黑体" w:eastAsia="黑体"/>
          <w:b/>
          <w:color w:val="000000"/>
          <w:sz w:val="18"/>
        </w:rPr>
        <w:t>表2 主要训练参数</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jc w:val="center"/>
            </w:pPr>
            <w:r/>
            <w:r>
              <w:rPr>
                <w:rFonts w:ascii="宋体" w:hAnsi="宋体" w:eastAsia="宋体"/>
                <w:b/>
                <w:color w:val="000000"/>
                <w:sz w:val="18"/>
              </w:rPr>
              <w:t>参数项</w:t>
            </w:r>
          </w:p>
        </w:tc>
        <w:tc>
          <w:tcPr>
            <w:tcW w:type="dxa" w:w="3120"/>
            <w:vAlign w:val="center"/>
            <w:shd w:fill="D9EAF7"/>
          </w:tcPr>
          <w:p>
            <w:pPr>
              <w:jc w:val="center"/>
            </w:pPr>
            <w:r/>
            <w:r>
              <w:rPr>
                <w:rFonts w:ascii="宋体" w:hAnsi="宋体" w:eastAsia="宋体"/>
                <w:b/>
                <w:color w:val="000000"/>
                <w:sz w:val="18"/>
              </w:rPr>
              <w:t>设置</w:t>
            </w:r>
          </w:p>
        </w:tc>
        <w:tc>
          <w:tcPr>
            <w:tcW w:type="dxa" w:w="3120"/>
            <w:vAlign w:val="center"/>
            <w:shd w:fill="D9EAF7"/>
          </w:tcPr>
          <w:p>
            <w:pPr>
              <w:jc w:val="center"/>
            </w:pPr>
            <w:r/>
            <w:r>
              <w:rPr>
                <w:rFonts w:ascii="宋体" w:hAnsi="宋体" w:eastAsia="宋体"/>
                <w:b/>
                <w:color w:val="000000"/>
                <w:sz w:val="18"/>
              </w:rPr>
              <w:t>作用</w:t>
            </w:r>
          </w:p>
        </w:tc>
      </w:tr>
      <w:tr>
        <w:tc>
          <w:tcPr>
            <w:tcW w:type="dxa" w:w="3120"/>
            <w:vAlign w:val="center"/>
          </w:tcPr>
          <w:p>
            <w:pPr>
              <w:jc w:val="center"/>
            </w:pPr>
            <w:r/>
            <w:r>
              <w:rPr>
                <w:rFonts w:ascii="宋体" w:hAnsi="宋体" w:eastAsia="宋体"/>
                <w:b w:val="0"/>
                <w:color w:val="000000"/>
                <w:sz w:val="18"/>
              </w:rPr>
              <w:t>窗口长度</w:t>
            </w:r>
          </w:p>
        </w:tc>
        <w:tc>
          <w:tcPr>
            <w:tcW w:type="dxa" w:w="3120"/>
            <w:vAlign w:val="center"/>
          </w:tcPr>
          <w:p>
            <w:pPr>
              <w:jc w:val="center"/>
            </w:pPr>
            <w:r/>
            <w:r>
              <w:rPr>
                <w:rFonts w:ascii="宋体" w:hAnsi="宋体" w:eastAsia="宋体"/>
                <w:b w:val="0"/>
                <w:color w:val="000000"/>
                <w:sz w:val="18"/>
              </w:rPr>
              <w:t>10 秒</w:t>
            </w:r>
          </w:p>
        </w:tc>
        <w:tc>
          <w:tcPr>
            <w:tcW w:type="dxa" w:w="3120"/>
            <w:vAlign w:val="center"/>
          </w:tcPr>
          <w:p>
            <w:pPr>
              <w:jc w:val="center"/>
            </w:pPr>
            <w:r/>
            <w:r>
              <w:rPr>
                <w:rFonts w:ascii="宋体" w:hAnsi="宋体" w:eastAsia="宋体"/>
                <w:b w:val="0"/>
                <w:color w:val="000000"/>
                <w:sz w:val="18"/>
              </w:rPr>
              <w:t>统一输入长度，兼顾语种信息和显存占用</w:t>
            </w:r>
          </w:p>
        </w:tc>
      </w:tr>
      <w:tr>
        <w:tc>
          <w:tcPr>
            <w:tcW w:type="dxa" w:w="3120"/>
            <w:vAlign w:val="center"/>
          </w:tcPr>
          <w:p>
            <w:pPr>
              <w:jc w:val="center"/>
            </w:pPr>
            <w:r/>
            <w:r>
              <w:rPr>
                <w:rFonts w:ascii="宋体" w:hAnsi="宋体" w:eastAsia="宋体"/>
                <w:b w:val="0"/>
                <w:color w:val="000000"/>
                <w:sz w:val="18"/>
              </w:rPr>
              <w:t>窗口步长</w:t>
            </w:r>
          </w:p>
        </w:tc>
        <w:tc>
          <w:tcPr>
            <w:tcW w:type="dxa" w:w="3120"/>
            <w:vAlign w:val="center"/>
          </w:tcPr>
          <w:p>
            <w:pPr>
              <w:jc w:val="center"/>
            </w:pPr>
            <w:r/>
            <w:r>
              <w:rPr>
                <w:rFonts w:ascii="宋体" w:hAnsi="宋体" w:eastAsia="宋体"/>
                <w:b w:val="0"/>
                <w:color w:val="000000"/>
                <w:sz w:val="18"/>
              </w:rPr>
              <w:t>5 秒</w:t>
            </w:r>
          </w:p>
        </w:tc>
        <w:tc>
          <w:tcPr>
            <w:tcW w:type="dxa" w:w="3120"/>
            <w:vAlign w:val="center"/>
          </w:tcPr>
          <w:p>
            <w:pPr>
              <w:jc w:val="center"/>
            </w:pPr>
            <w:r/>
            <w:r>
              <w:rPr>
                <w:rFonts w:ascii="宋体" w:hAnsi="宋体" w:eastAsia="宋体"/>
                <w:b w:val="0"/>
                <w:color w:val="000000"/>
                <w:sz w:val="18"/>
              </w:rPr>
              <w:t>重叠切分，减少边界信息损失</w:t>
            </w:r>
          </w:p>
        </w:tc>
      </w:tr>
      <w:tr>
        <w:tc>
          <w:tcPr>
            <w:tcW w:type="dxa" w:w="3120"/>
            <w:vAlign w:val="center"/>
          </w:tcPr>
          <w:p>
            <w:pPr>
              <w:jc w:val="center"/>
            </w:pPr>
            <w:r/>
            <w:r>
              <w:rPr>
                <w:rFonts w:ascii="宋体" w:hAnsi="宋体" w:eastAsia="宋体"/>
                <w:b w:val="0"/>
                <w:color w:val="000000"/>
                <w:sz w:val="18"/>
              </w:rPr>
              <w:t>训练轮次</w:t>
            </w:r>
          </w:p>
        </w:tc>
        <w:tc>
          <w:tcPr>
            <w:tcW w:type="dxa" w:w="3120"/>
            <w:vAlign w:val="center"/>
          </w:tcPr>
          <w:p>
            <w:pPr>
              <w:jc w:val="center"/>
            </w:pPr>
            <w:r/>
            <w:r>
              <w:rPr>
                <w:rFonts w:ascii="宋体" w:hAnsi="宋体" w:eastAsia="宋体"/>
                <w:b w:val="0"/>
                <w:color w:val="000000"/>
                <w:sz w:val="18"/>
              </w:rPr>
              <w:t>最多 8 轮</w:t>
            </w:r>
          </w:p>
        </w:tc>
        <w:tc>
          <w:tcPr>
            <w:tcW w:type="dxa" w:w="3120"/>
            <w:vAlign w:val="center"/>
          </w:tcPr>
          <w:p>
            <w:pPr>
              <w:jc w:val="center"/>
            </w:pPr>
            <w:r/>
            <w:r>
              <w:rPr>
                <w:rFonts w:ascii="宋体" w:hAnsi="宋体" w:eastAsia="宋体"/>
                <w:b w:val="0"/>
                <w:color w:val="000000"/>
                <w:sz w:val="18"/>
              </w:rPr>
              <w:t>控制训练时间，避免过度训练</w:t>
            </w:r>
          </w:p>
        </w:tc>
      </w:tr>
      <w:tr>
        <w:tc>
          <w:tcPr>
            <w:tcW w:type="dxa" w:w="3120"/>
            <w:vAlign w:val="center"/>
          </w:tcPr>
          <w:p>
            <w:pPr>
              <w:jc w:val="center"/>
            </w:pPr>
            <w:r/>
            <w:r>
              <w:rPr>
                <w:rFonts w:ascii="宋体" w:hAnsi="宋体" w:eastAsia="宋体"/>
                <w:b w:val="0"/>
                <w:color w:val="000000"/>
                <w:sz w:val="18"/>
              </w:rPr>
              <w:t>梯度累积</w:t>
            </w:r>
          </w:p>
        </w:tc>
        <w:tc>
          <w:tcPr>
            <w:tcW w:type="dxa" w:w="3120"/>
            <w:vAlign w:val="center"/>
          </w:tcPr>
          <w:p>
            <w:pPr>
              <w:jc w:val="center"/>
            </w:pPr>
            <w:r/>
            <w:r>
              <w:rPr>
                <w:rFonts w:ascii="宋体" w:hAnsi="宋体" w:eastAsia="宋体"/>
                <w:b w:val="0"/>
                <w:color w:val="000000"/>
                <w:sz w:val="18"/>
              </w:rPr>
              <w:t>8 步</w:t>
            </w:r>
          </w:p>
        </w:tc>
        <w:tc>
          <w:tcPr>
            <w:tcW w:type="dxa" w:w="3120"/>
            <w:vAlign w:val="center"/>
          </w:tcPr>
          <w:p>
            <w:pPr>
              <w:jc w:val="center"/>
            </w:pPr>
            <w:r/>
            <w:r>
              <w:rPr>
                <w:rFonts w:ascii="宋体" w:hAnsi="宋体" w:eastAsia="宋体"/>
                <w:b w:val="0"/>
                <w:color w:val="000000"/>
                <w:sz w:val="18"/>
              </w:rPr>
              <w:t>缓解批大小较小导致的不稳定</w:t>
            </w:r>
          </w:p>
        </w:tc>
      </w:tr>
      <w:tr>
        <w:tc>
          <w:tcPr>
            <w:tcW w:type="dxa" w:w="3120"/>
            <w:vAlign w:val="center"/>
          </w:tcPr>
          <w:p>
            <w:pPr>
              <w:jc w:val="center"/>
            </w:pPr>
            <w:r/>
            <w:r>
              <w:rPr>
                <w:rFonts w:ascii="宋体" w:hAnsi="宋体" w:eastAsia="宋体"/>
                <w:b w:val="0"/>
                <w:color w:val="000000"/>
                <w:sz w:val="18"/>
              </w:rPr>
              <w:t>学习率</w:t>
            </w:r>
          </w:p>
        </w:tc>
        <w:tc>
          <w:tcPr>
            <w:tcW w:type="dxa" w:w="3120"/>
            <w:vAlign w:val="center"/>
          </w:tcPr>
          <w:p>
            <w:pPr>
              <w:jc w:val="center"/>
            </w:pPr>
            <w:r/>
            <w:r>
              <w:rPr>
                <w:rFonts w:ascii="宋体" w:hAnsi="宋体" w:eastAsia="宋体"/>
                <w:b w:val="0"/>
                <w:color w:val="000000"/>
                <w:sz w:val="18"/>
              </w:rPr>
              <w:t>1e-4</w:t>
            </w:r>
          </w:p>
        </w:tc>
        <w:tc>
          <w:tcPr>
            <w:tcW w:type="dxa" w:w="3120"/>
            <w:vAlign w:val="center"/>
          </w:tcPr>
          <w:p>
            <w:pPr>
              <w:jc w:val="center"/>
            </w:pPr>
            <w:r/>
            <w:r>
              <w:rPr>
                <w:rFonts w:ascii="宋体" w:hAnsi="宋体" w:eastAsia="宋体"/>
                <w:b w:val="0"/>
                <w:color w:val="000000"/>
                <w:sz w:val="18"/>
              </w:rPr>
              <w:t>训练新增轻量模块</w:t>
            </w:r>
          </w:p>
        </w:tc>
      </w:tr>
      <w:tr>
        <w:tc>
          <w:tcPr>
            <w:tcW w:type="dxa" w:w="3120"/>
            <w:vAlign w:val="center"/>
          </w:tcPr>
          <w:p>
            <w:pPr>
              <w:jc w:val="center"/>
            </w:pPr>
            <w:r/>
            <w:r>
              <w:rPr>
                <w:rFonts w:ascii="宋体" w:hAnsi="宋体" w:eastAsia="宋体"/>
                <w:b w:val="0"/>
                <w:color w:val="000000"/>
                <w:sz w:val="18"/>
              </w:rPr>
              <w:t>标签平滑</w:t>
            </w:r>
          </w:p>
        </w:tc>
        <w:tc>
          <w:tcPr>
            <w:tcW w:type="dxa" w:w="3120"/>
            <w:vAlign w:val="center"/>
          </w:tcPr>
          <w:p>
            <w:pPr>
              <w:jc w:val="center"/>
            </w:pPr>
            <w:r/>
            <w:r>
              <w:rPr>
                <w:rFonts w:ascii="宋体" w:hAnsi="宋体" w:eastAsia="宋体"/>
                <w:b w:val="0"/>
                <w:color w:val="000000"/>
                <w:sz w:val="18"/>
              </w:rPr>
              <w:t>0.08</w:t>
            </w:r>
          </w:p>
        </w:tc>
        <w:tc>
          <w:tcPr>
            <w:tcW w:type="dxa" w:w="3120"/>
            <w:vAlign w:val="center"/>
          </w:tcPr>
          <w:p>
            <w:pPr>
              <w:jc w:val="center"/>
            </w:pPr>
            <w:r/>
            <w:r>
              <w:rPr>
                <w:rFonts w:ascii="宋体" w:hAnsi="宋体" w:eastAsia="宋体"/>
                <w:b w:val="0"/>
                <w:color w:val="000000"/>
                <w:sz w:val="18"/>
              </w:rPr>
              <w:t>降低模型过度自信，提高泛化能力</w:t>
            </w:r>
          </w:p>
        </w:tc>
      </w:tr>
    </w:tbl>
    <w:p>
      <w:pPr>
        <w:spacing w:before="120" w:after="80"/>
      </w:pPr>
      <w:r>
        <w:rPr>
          <w:rFonts w:ascii="黑体" w:hAnsi="黑体" w:eastAsia="黑体"/>
          <w:b/>
          <w:color w:val="000000"/>
          <w:sz w:val="24"/>
        </w:rPr>
        <w:t>5.3 学习率调整与早停</w:t>
      </w:r>
    </w:p>
    <w:p>
      <w:pPr>
        <w:spacing w:line="360" w:lineRule="auto" w:after="60"/>
        <w:ind w:firstLine="480"/>
      </w:pPr>
      <w:r>
        <w:rPr>
          <w:rFonts w:ascii="宋体" w:hAnsi="宋体" w:eastAsia="宋体"/>
          <w:b w:val="0"/>
          <w:color w:val="000000"/>
          <w:sz w:val="24"/>
        </w:rPr>
        <w:t>训练过程中根据验证集准确率调整学习率。当验证集表现不再提升时，学习率会降低，使模型在后期更细致地收敛。早停策略用于避免训练过久导致过拟合，也能节省训练时间。</w:t>
      </w:r>
    </w:p>
    <w:p>
      <w:pPr>
        <w:spacing w:before="120" w:after="80"/>
      </w:pPr>
      <w:r>
        <w:rPr>
          <w:rFonts w:ascii="黑体" w:hAnsi="黑体" w:eastAsia="黑体"/>
          <w:b/>
          <w:color w:val="000000"/>
          <w:sz w:val="24"/>
        </w:rPr>
        <w:t>5.4 断点续训</w:t>
      </w:r>
    </w:p>
    <w:p>
      <w:pPr>
        <w:spacing w:line="360" w:lineRule="auto" w:after="60"/>
        <w:ind w:firstLine="480"/>
      </w:pPr>
      <w:r>
        <w:rPr>
          <w:rFonts w:ascii="宋体" w:hAnsi="宋体" w:eastAsia="宋体"/>
          <w:b w:val="0"/>
          <w:color w:val="000000"/>
          <w:sz w:val="24"/>
        </w:rPr>
        <w:t>由于 OWSM v4 模型较大，训练耗时较长，项目加入断点续训机制。每完成一个训练轮次，会保存模型状态、优化器状态、学习率调度状态和历史指标。如果训练中断，可以从上一个完整轮次继续，避免从头训练。</w:t>
      </w:r>
    </w:p>
    <w:p>
      <w:pPr>
        <w:spacing w:before="120" w:after="80"/>
      </w:pPr>
      <w:r>
        <w:rPr>
          <w:rFonts w:ascii="黑体" w:hAnsi="黑体" w:eastAsia="黑体"/>
          <w:b/>
          <w:color w:val="000000"/>
          <w:sz w:val="24"/>
        </w:rPr>
        <w:t>5.5 坏音频处理</w:t>
      </w:r>
    </w:p>
    <w:p>
      <w:pPr>
        <w:spacing w:line="360" w:lineRule="auto" w:after="60"/>
        <w:ind w:firstLine="480"/>
      </w:pPr>
      <w:r>
        <w:rPr>
          <w:rFonts w:ascii="宋体" w:hAnsi="宋体" w:eastAsia="宋体"/>
          <w:b w:val="0"/>
          <w:color w:val="000000"/>
          <w:sz w:val="24"/>
        </w:rPr>
        <w:t>实际数据集中可能存在格式异常或损坏音频。如果训练过程因为单个坏音频直接中断，会浪费大量时间。项目在数据处理时加入异常音频跳过机制，保证训练和评估流程更加稳定。</w:t>
      </w:r>
    </w:p>
    <w:p>
      <w:pPr>
        <w:spacing w:before="200" w:after="120"/>
      </w:pPr>
      <w:r>
        <w:rPr>
          <w:rFonts w:ascii="黑体" w:hAnsi="黑体" w:eastAsia="黑体"/>
          <w:b/>
          <w:color w:val="000000"/>
          <w:sz w:val="28"/>
        </w:rPr>
        <w:t>6 实现效果及分析</w:t>
      </w:r>
    </w:p>
    <w:p>
      <w:pPr>
        <w:spacing w:before="120" w:after="80"/>
      </w:pPr>
      <w:r>
        <w:rPr>
          <w:rFonts w:ascii="黑体" w:hAnsi="黑体" w:eastAsia="黑体"/>
          <w:b/>
          <w:color w:val="000000"/>
          <w:sz w:val="24"/>
        </w:rPr>
        <w:t>6.1 内部测试结果</w:t>
      </w:r>
    </w:p>
    <w:p>
      <w:pPr>
        <w:spacing w:line="360" w:lineRule="auto" w:after="60"/>
        <w:ind w:firstLine="480"/>
      </w:pPr>
      <w:r>
        <w:rPr>
          <w:rFonts w:ascii="宋体" w:hAnsi="宋体" w:eastAsia="宋体"/>
          <w:b w:val="0"/>
          <w:color w:val="000000"/>
          <w:sz w:val="24"/>
        </w:rPr>
        <w:t>内部测试集共 750 条语音，每个语种 150 条。模型在该测试集上的准确率为 100.00%，五个语种的精确率、召回率和 F1 值均为 1.0000。这说明模型在同源测试条件下能够稳定区分五个目标语种。</w:t>
      </w:r>
    </w:p>
    <w:p>
      <w:pPr>
        <w:jc w:val="center"/>
      </w:pPr>
      <w:r>
        <w:rPr>
          <w:rFonts w:ascii="黑体" w:hAnsi="黑体" w:eastAsia="黑体"/>
          <w:b/>
          <w:color w:val="000000"/>
          <w:sz w:val="18"/>
        </w:rPr>
        <w:t>表3 内部测试分类指标</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jc w:val="center"/>
            </w:pPr>
            <w:r/>
            <w:r>
              <w:rPr>
                <w:rFonts w:ascii="宋体" w:hAnsi="宋体" w:eastAsia="宋体"/>
                <w:b/>
                <w:color w:val="000000"/>
                <w:sz w:val="18"/>
              </w:rPr>
              <w:t>语种</w:t>
            </w:r>
          </w:p>
        </w:tc>
        <w:tc>
          <w:tcPr>
            <w:tcW w:type="dxa" w:w="1872"/>
            <w:vAlign w:val="center"/>
            <w:shd w:fill="D9EAF7"/>
          </w:tcPr>
          <w:p>
            <w:pPr>
              <w:jc w:val="center"/>
            </w:pPr>
            <w:r/>
            <w:r>
              <w:rPr>
                <w:rFonts w:ascii="宋体" w:hAnsi="宋体" w:eastAsia="宋体"/>
                <w:b/>
                <w:color w:val="000000"/>
                <w:sz w:val="18"/>
              </w:rPr>
              <w:t>Precision</w:t>
            </w:r>
          </w:p>
        </w:tc>
        <w:tc>
          <w:tcPr>
            <w:tcW w:type="dxa" w:w="1872"/>
            <w:vAlign w:val="center"/>
            <w:shd w:fill="D9EAF7"/>
          </w:tcPr>
          <w:p>
            <w:pPr>
              <w:jc w:val="center"/>
            </w:pPr>
            <w:r/>
            <w:r>
              <w:rPr>
                <w:rFonts w:ascii="宋体" w:hAnsi="宋体" w:eastAsia="宋体"/>
                <w:b/>
                <w:color w:val="000000"/>
                <w:sz w:val="18"/>
              </w:rPr>
              <w:t>Recall</w:t>
            </w:r>
          </w:p>
        </w:tc>
        <w:tc>
          <w:tcPr>
            <w:tcW w:type="dxa" w:w="1872"/>
            <w:vAlign w:val="center"/>
            <w:shd w:fill="D9EAF7"/>
          </w:tcPr>
          <w:p>
            <w:pPr>
              <w:jc w:val="center"/>
            </w:pPr>
            <w:r/>
            <w:r>
              <w:rPr>
                <w:rFonts w:ascii="宋体" w:hAnsi="宋体" w:eastAsia="宋体"/>
                <w:b/>
                <w:color w:val="000000"/>
                <w:sz w:val="18"/>
              </w:rPr>
              <w:t>F1-score</w:t>
            </w:r>
          </w:p>
        </w:tc>
        <w:tc>
          <w:tcPr>
            <w:tcW w:type="dxa" w:w="1872"/>
            <w:vAlign w:val="center"/>
            <w:shd w:fill="D9EAF7"/>
          </w:tcPr>
          <w:p>
            <w:pPr>
              <w:jc w:val="center"/>
            </w:pPr>
            <w:r/>
            <w:r>
              <w:rPr>
                <w:rFonts w:ascii="宋体" w:hAnsi="宋体" w:eastAsia="宋体"/>
                <w:b/>
                <w:color w:val="000000"/>
                <w:sz w:val="18"/>
              </w:rPr>
              <w:t>Support</w:t>
            </w:r>
          </w:p>
        </w:tc>
      </w:tr>
      <w:tr>
        <w:tc>
          <w:tcPr>
            <w:tcW w:type="dxa" w:w="1872"/>
            <w:vAlign w:val="center"/>
          </w:tcPr>
          <w:p>
            <w:pPr>
              <w:jc w:val="center"/>
            </w:pPr>
            <w:r/>
            <w:r>
              <w:rPr>
                <w:rFonts w:ascii="宋体" w:hAnsi="宋体" w:eastAsia="宋体"/>
                <w:b w:val="0"/>
                <w:color w:val="000000"/>
                <w:sz w:val="18"/>
              </w:rPr>
              <w:t>Chinese</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English</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French</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Japanese</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Korean</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总体</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750</w:t>
            </w:r>
          </w:p>
        </w:tc>
      </w:tr>
    </w:tbl>
    <w:p>
      <w:pPr>
        <w:jc w:val="center"/>
      </w:pPr>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owsm_adapter_confusion_matrix.png"/>
                    <pic:cNvPicPr/>
                  </pic:nvPicPr>
                  <pic:blipFill>
                    <a:blip r:embed="rId9"/>
                    <a:stretch>
                      <a:fillRect/>
                    </a:stretch>
                  </pic:blipFill>
                  <pic:spPr>
                    <a:xfrm>
                      <a:off x="0" y="0"/>
                      <a:ext cx="5120640" cy="3840480"/>
                    </a:xfrm>
                    <a:prstGeom prst="rect"/>
                  </pic:spPr>
                </pic:pic>
              </a:graphicData>
            </a:graphic>
          </wp:inline>
        </w:drawing>
      </w:r>
    </w:p>
    <w:p>
      <w:pPr>
        <w:jc w:val="center"/>
      </w:pPr>
      <w:r>
        <w:rPr>
          <w:rFonts w:ascii="宋体" w:hAnsi="宋体" w:eastAsia="宋体"/>
          <w:b w:val="0"/>
          <w:color w:val="000000"/>
          <w:sz w:val="18"/>
        </w:rPr>
        <w:t>图1 内部测试集混淆矩阵</w:t>
      </w:r>
    </w:p>
    <w:p>
      <w:pPr>
        <w:spacing w:before="120" w:after="80"/>
      </w:pPr>
      <w:r>
        <w:rPr>
          <w:rFonts w:ascii="黑体" w:hAnsi="黑体" w:eastAsia="黑体"/>
          <w:b/>
          <w:color w:val="000000"/>
          <w:sz w:val="24"/>
        </w:rPr>
        <w:t>6.2 外部测试结果</w:t>
      </w:r>
    </w:p>
    <w:p>
      <w:pPr>
        <w:spacing w:line="360" w:lineRule="auto" w:after="60"/>
        <w:ind w:firstLine="480"/>
      </w:pPr>
      <w:r>
        <w:rPr>
          <w:rFonts w:ascii="宋体" w:hAnsi="宋体" w:eastAsia="宋体"/>
          <w:b w:val="0"/>
          <w:color w:val="000000"/>
          <w:sz w:val="24"/>
        </w:rPr>
        <w:t>外部测试使用 VoxLingua107 保留测试切分，共 10000 条语音，每个语种 2000 条。模型总体准确率为 99.29%，宏平均 F1 值为 0.9929。外部测试数据来源、录音环境和说话人都不同于基础数据，因此该结果比单纯内部测试更能说明模型泛化能力。</w:t>
      </w:r>
    </w:p>
    <w:p>
      <w:pPr>
        <w:jc w:val="center"/>
      </w:pPr>
      <w:r>
        <w:rPr>
          <w:rFonts w:ascii="黑体" w:hAnsi="黑体" w:eastAsia="黑体"/>
          <w:b/>
          <w:color w:val="000000"/>
          <w:sz w:val="18"/>
        </w:rPr>
        <w:t>表4 VoxLingua107 外部测试分类指标</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jc w:val="center"/>
            </w:pPr>
            <w:r/>
            <w:r>
              <w:rPr>
                <w:rFonts w:ascii="宋体" w:hAnsi="宋体" w:eastAsia="宋体"/>
                <w:b/>
                <w:color w:val="000000"/>
                <w:sz w:val="18"/>
              </w:rPr>
              <w:t>语种</w:t>
            </w:r>
          </w:p>
        </w:tc>
        <w:tc>
          <w:tcPr>
            <w:tcW w:type="dxa" w:w="1872"/>
            <w:vAlign w:val="center"/>
            <w:shd w:fill="D9EAF7"/>
          </w:tcPr>
          <w:p>
            <w:pPr>
              <w:jc w:val="center"/>
            </w:pPr>
            <w:r/>
            <w:r>
              <w:rPr>
                <w:rFonts w:ascii="宋体" w:hAnsi="宋体" w:eastAsia="宋体"/>
                <w:b/>
                <w:color w:val="000000"/>
                <w:sz w:val="18"/>
              </w:rPr>
              <w:t>Precision</w:t>
            </w:r>
          </w:p>
        </w:tc>
        <w:tc>
          <w:tcPr>
            <w:tcW w:type="dxa" w:w="1872"/>
            <w:vAlign w:val="center"/>
            <w:shd w:fill="D9EAF7"/>
          </w:tcPr>
          <w:p>
            <w:pPr>
              <w:jc w:val="center"/>
            </w:pPr>
            <w:r/>
            <w:r>
              <w:rPr>
                <w:rFonts w:ascii="宋体" w:hAnsi="宋体" w:eastAsia="宋体"/>
                <w:b/>
                <w:color w:val="000000"/>
                <w:sz w:val="18"/>
              </w:rPr>
              <w:t>Recall</w:t>
            </w:r>
          </w:p>
        </w:tc>
        <w:tc>
          <w:tcPr>
            <w:tcW w:type="dxa" w:w="1872"/>
            <w:vAlign w:val="center"/>
            <w:shd w:fill="D9EAF7"/>
          </w:tcPr>
          <w:p>
            <w:pPr>
              <w:jc w:val="center"/>
            </w:pPr>
            <w:r/>
            <w:r>
              <w:rPr>
                <w:rFonts w:ascii="宋体" w:hAnsi="宋体" w:eastAsia="宋体"/>
                <w:b/>
                <w:color w:val="000000"/>
                <w:sz w:val="18"/>
              </w:rPr>
              <w:t>F1-score</w:t>
            </w:r>
          </w:p>
        </w:tc>
        <w:tc>
          <w:tcPr>
            <w:tcW w:type="dxa" w:w="1872"/>
            <w:vAlign w:val="center"/>
            <w:shd w:fill="D9EAF7"/>
          </w:tcPr>
          <w:p>
            <w:pPr>
              <w:jc w:val="center"/>
            </w:pPr>
            <w:r/>
            <w:r>
              <w:rPr>
                <w:rFonts w:ascii="宋体" w:hAnsi="宋体" w:eastAsia="宋体"/>
                <w:b/>
                <w:color w:val="000000"/>
                <w:sz w:val="18"/>
              </w:rPr>
              <w:t>Support</w:t>
            </w:r>
          </w:p>
        </w:tc>
      </w:tr>
      <w:tr>
        <w:tc>
          <w:tcPr>
            <w:tcW w:type="dxa" w:w="1872"/>
            <w:vAlign w:val="center"/>
          </w:tcPr>
          <w:p>
            <w:pPr>
              <w:jc w:val="center"/>
            </w:pPr>
            <w:r/>
            <w:r>
              <w:rPr>
                <w:rFonts w:ascii="宋体" w:hAnsi="宋体" w:eastAsia="宋体"/>
                <w:b w:val="0"/>
                <w:color w:val="000000"/>
                <w:sz w:val="18"/>
              </w:rPr>
              <w:t>Chinese</w:t>
            </w:r>
          </w:p>
        </w:tc>
        <w:tc>
          <w:tcPr>
            <w:tcW w:type="dxa" w:w="1872"/>
            <w:vAlign w:val="center"/>
          </w:tcPr>
          <w:p>
            <w:pPr>
              <w:jc w:val="center"/>
            </w:pPr>
            <w:r/>
            <w:r>
              <w:rPr>
                <w:rFonts w:ascii="宋体" w:hAnsi="宋体" w:eastAsia="宋体"/>
                <w:b w:val="0"/>
                <w:color w:val="000000"/>
                <w:sz w:val="18"/>
              </w:rPr>
              <w:t>0.9940</w:t>
            </w:r>
          </w:p>
        </w:tc>
        <w:tc>
          <w:tcPr>
            <w:tcW w:type="dxa" w:w="1872"/>
            <w:vAlign w:val="center"/>
          </w:tcPr>
          <w:p>
            <w:pPr>
              <w:jc w:val="center"/>
            </w:pPr>
            <w:r/>
            <w:r>
              <w:rPr>
                <w:rFonts w:ascii="宋体" w:hAnsi="宋体" w:eastAsia="宋体"/>
                <w:b w:val="0"/>
                <w:color w:val="000000"/>
                <w:sz w:val="18"/>
              </w:rPr>
              <w:t>0.9880</w:t>
            </w:r>
          </w:p>
        </w:tc>
        <w:tc>
          <w:tcPr>
            <w:tcW w:type="dxa" w:w="1872"/>
            <w:vAlign w:val="center"/>
          </w:tcPr>
          <w:p>
            <w:pPr>
              <w:jc w:val="center"/>
            </w:pPr>
            <w:r/>
            <w:r>
              <w:rPr>
                <w:rFonts w:ascii="宋体" w:hAnsi="宋体" w:eastAsia="宋体"/>
                <w:b w:val="0"/>
                <w:color w:val="000000"/>
                <w:sz w:val="18"/>
              </w:rPr>
              <w:t>0.9910</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English</w:t>
            </w:r>
          </w:p>
        </w:tc>
        <w:tc>
          <w:tcPr>
            <w:tcW w:type="dxa" w:w="1872"/>
            <w:vAlign w:val="center"/>
          </w:tcPr>
          <w:p>
            <w:pPr>
              <w:jc w:val="center"/>
            </w:pPr>
            <w:r/>
            <w:r>
              <w:rPr>
                <w:rFonts w:ascii="宋体" w:hAnsi="宋体" w:eastAsia="宋体"/>
                <w:b w:val="0"/>
                <w:color w:val="000000"/>
                <w:sz w:val="18"/>
              </w:rPr>
              <w:t>0.9925</w:t>
            </w:r>
          </w:p>
        </w:tc>
        <w:tc>
          <w:tcPr>
            <w:tcW w:type="dxa" w:w="1872"/>
            <w:vAlign w:val="center"/>
          </w:tcPr>
          <w:p>
            <w:pPr>
              <w:jc w:val="center"/>
            </w:pPr>
            <w:r/>
            <w:r>
              <w:rPr>
                <w:rFonts w:ascii="宋体" w:hAnsi="宋体" w:eastAsia="宋体"/>
                <w:b w:val="0"/>
                <w:color w:val="000000"/>
                <w:sz w:val="18"/>
              </w:rPr>
              <w:t>0.9910</w:t>
            </w:r>
          </w:p>
        </w:tc>
        <w:tc>
          <w:tcPr>
            <w:tcW w:type="dxa" w:w="1872"/>
            <w:vAlign w:val="center"/>
          </w:tcPr>
          <w:p>
            <w:pPr>
              <w:jc w:val="center"/>
            </w:pPr>
            <w:r/>
            <w:r>
              <w:rPr>
                <w:rFonts w:ascii="宋体" w:hAnsi="宋体" w:eastAsia="宋体"/>
                <w:b w:val="0"/>
                <w:color w:val="000000"/>
                <w:sz w:val="18"/>
              </w:rPr>
              <w:t>0.9917</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French</w:t>
            </w:r>
          </w:p>
        </w:tc>
        <w:tc>
          <w:tcPr>
            <w:tcW w:type="dxa" w:w="1872"/>
            <w:vAlign w:val="center"/>
          </w:tcPr>
          <w:p>
            <w:pPr>
              <w:jc w:val="center"/>
            </w:pPr>
            <w:r/>
            <w:r>
              <w:rPr>
                <w:rFonts w:ascii="宋体" w:hAnsi="宋体" w:eastAsia="宋体"/>
                <w:b w:val="0"/>
                <w:color w:val="000000"/>
                <w:sz w:val="18"/>
              </w:rPr>
              <w:t>0.9995</w:t>
            </w:r>
          </w:p>
        </w:tc>
        <w:tc>
          <w:tcPr>
            <w:tcW w:type="dxa" w:w="1872"/>
            <w:vAlign w:val="center"/>
          </w:tcPr>
          <w:p>
            <w:pPr>
              <w:jc w:val="center"/>
            </w:pPr>
            <w:r/>
            <w:r>
              <w:rPr>
                <w:rFonts w:ascii="宋体" w:hAnsi="宋体" w:eastAsia="宋体"/>
                <w:b w:val="0"/>
                <w:color w:val="000000"/>
                <w:sz w:val="18"/>
              </w:rPr>
              <w:t>0.9975</w:t>
            </w:r>
          </w:p>
        </w:tc>
        <w:tc>
          <w:tcPr>
            <w:tcW w:type="dxa" w:w="1872"/>
            <w:vAlign w:val="center"/>
          </w:tcPr>
          <w:p>
            <w:pPr>
              <w:jc w:val="center"/>
            </w:pPr>
            <w:r/>
            <w:r>
              <w:rPr>
                <w:rFonts w:ascii="宋体" w:hAnsi="宋体" w:eastAsia="宋体"/>
                <w:b w:val="0"/>
                <w:color w:val="000000"/>
                <w:sz w:val="18"/>
              </w:rPr>
              <w:t>0.9985</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Japanese</w:t>
            </w:r>
          </w:p>
        </w:tc>
        <w:tc>
          <w:tcPr>
            <w:tcW w:type="dxa" w:w="1872"/>
            <w:vAlign w:val="center"/>
          </w:tcPr>
          <w:p>
            <w:pPr>
              <w:jc w:val="center"/>
            </w:pPr>
            <w:r/>
            <w:r>
              <w:rPr>
                <w:rFonts w:ascii="宋体" w:hAnsi="宋体" w:eastAsia="宋体"/>
                <w:b w:val="0"/>
                <w:color w:val="000000"/>
                <w:sz w:val="18"/>
              </w:rPr>
              <w:t>0.9847</w:t>
            </w:r>
          </w:p>
        </w:tc>
        <w:tc>
          <w:tcPr>
            <w:tcW w:type="dxa" w:w="1872"/>
            <w:vAlign w:val="center"/>
          </w:tcPr>
          <w:p>
            <w:pPr>
              <w:jc w:val="center"/>
            </w:pPr>
            <w:r/>
            <w:r>
              <w:rPr>
                <w:rFonts w:ascii="宋体" w:hAnsi="宋体" w:eastAsia="宋体"/>
                <w:b w:val="0"/>
                <w:color w:val="000000"/>
                <w:sz w:val="18"/>
              </w:rPr>
              <w:t>0.9960</w:t>
            </w:r>
          </w:p>
        </w:tc>
        <w:tc>
          <w:tcPr>
            <w:tcW w:type="dxa" w:w="1872"/>
            <w:vAlign w:val="center"/>
          </w:tcPr>
          <w:p>
            <w:pPr>
              <w:jc w:val="center"/>
            </w:pPr>
            <w:r/>
            <w:r>
              <w:rPr>
                <w:rFonts w:ascii="宋体" w:hAnsi="宋体" w:eastAsia="宋体"/>
                <w:b w:val="0"/>
                <w:color w:val="000000"/>
                <w:sz w:val="18"/>
              </w:rPr>
              <w:t>0.9903</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Korean</w:t>
            </w:r>
          </w:p>
        </w:tc>
        <w:tc>
          <w:tcPr>
            <w:tcW w:type="dxa" w:w="1872"/>
            <w:vAlign w:val="center"/>
          </w:tcPr>
          <w:p>
            <w:pPr>
              <w:jc w:val="center"/>
            </w:pPr>
            <w:r/>
            <w:r>
              <w:rPr>
                <w:rFonts w:ascii="宋体" w:hAnsi="宋体" w:eastAsia="宋体"/>
                <w:b w:val="0"/>
                <w:color w:val="000000"/>
                <w:sz w:val="18"/>
              </w:rPr>
              <w:t>0.9940</w:t>
            </w:r>
          </w:p>
        </w:tc>
        <w:tc>
          <w:tcPr>
            <w:tcW w:type="dxa" w:w="1872"/>
            <w:vAlign w:val="center"/>
          </w:tcPr>
          <w:p>
            <w:pPr>
              <w:jc w:val="center"/>
            </w:pPr>
            <w:r/>
            <w:r>
              <w:rPr>
                <w:rFonts w:ascii="宋体" w:hAnsi="宋体" w:eastAsia="宋体"/>
                <w:b w:val="0"/>
                <w:color w:val="000000"/>
                <w:sz w:val="18"/>
              </w:rPr>
              <w:t>0.9920</w:t>
            </w:r>
          </w:p>
        </w:tc>
        <w:tc>
          <w:tcPr>
            <w:tcW w:type="dxa" w:w="1872"/>
            <w:vAlign w:val="center"/>
          </w:tcPr>
          <w:p>
            <w:pPr>
              <w:jc w:val="center"/>
            </w:pPr>
            <w:r/>
            <w:r>
              <w:rPr>
                <w:rFonts w:ascii="宋体" w:hAnsi="宋体" w:eastAsia="宋体"/>
                <w:b w:val="0"/>
                <w:color w:val="000000"/>
                <w:sz w:val="18"/>
              </w:rPr>
              <w:t>0.9930</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总体</w:t>
            </w:r>
          </w:p>
        </w:tc>
        <w:tc>
          <w:tcPr>
            <w:tcW w:type="dxa" w:w="1872"/>
            <w:vAlign w:val="center"/>
          </w:tcPr>
          <w:p>
            <w:pPr>
              <w:jc w:val="center"/>
            </w:pPr>
            <w:r/>
            <w:r>
              <w:rPr>
                <w:rFonts w:ascii="宋体" w:hAnsi="宋体" w:eastAsia="宋体"/>
                <w:b w:val="0"/>
                <w:color w:val="000000"/>
                <w:sz w:val="18"/>
              </w:rPr>
              <w:t>0.9929</w:t>
            </w:r>
          </w:p>
        </w:tc>
        <w:tc>
          <w:tcPr>
            <w:tcW w:type="dxa" w:w="1872"/>
            <w:vAlign w:val="center"/>
          </w:tcPr>
          <w:p>
            <w:pPr>
              <w:jc w:val="center"/>
            </w:pPr>
            <w:r/>
            <w:r>
              <w:rPr>
                <w:rFonts w:ascii="宋体" w:hAnsi="宋体" w:eastAsia="宋体"/>
                <w:b w:val="0"/>
                <w:color w:val="000000"/>
                <w:sz w:val="18"/>
              </w:rPr>
              <w:t>0.9929</w:t>
            </w:r>
          </w:p>
        </w:tc>
        <w:tc>
          <w:tcPr>
            <w:tcW w:type="dxa" w:w="1872"/>
            <w:vAlign w:val="center"/>
          </w:tcPr>
          <w:p>
            <w:pPr>
              <w:jc w:val="center"/>
            </w:pPr>
            <w:r/>
            <w:r>
              <w:rPr>
                <w:rFonts w:ascii="宋体" w:hAnsi="宋体" w:eastAsia="宋体"/>
                <w:b w:val="0"/>
                <w:color w:val="000000"/>
                <w:sz w:val="18"/>
              </w:rPr>
              <w:t>0.9929</w:t>
            </w:r>
          </w:p>
        </w:tc>
        <w:tc>
          <w:tcPr>
            <w:tcW w:type="dxa" w:w="1872"/>
            <w:vAlign w:val="center"/>
          </w:tcPr>
          <w:p>
            <w:pPr>
              <w:jc w:val="center"/>
            </w:pPr>
            <w:r/>
            <w:r>
              <w:rPr>
                <w:rFonts w:ascii="宋体" w:hAnsi="宋体" w:eastAsia="宋体"/>
                <w:b w:val="0"/>
                <w:color w:val="000000"/>
                <w:sz w:val="18"/>
              </w:rPr>
              <w:t>10000</w:t>
            </w:r>
          </w:p>
        </w:tc>
      </w:tr>
    </w:tbl>
    <w:p>
      <w:pPr>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external_voxlingua_confusion_matrix.png"/>
                    <pic:cNvPicPr/>
                  </pic:nvPicPr>
                  <pic:blipFill>
                    <a:blip r:embed="rId10"/>
                    <a:stretch>
                      <a:fillRect/>
                    </a:stretch>
                  </pic:blipFill>
                  <pic:spPr>
                    <a:xfrm>
                      <a:off x="0" y="0"/>
                      <a:ext cx="5120640" cy="3840480"/>
                    </a:xfrm>
                    <a:prstGeom prst="rect"/>
                  </pic:spPr>
                </pic:pic>
              </a:graphicData>
            </a:graphic>
          </wp:inline>
        </w:drawing>
      </w:r>
    </w:p>
    <w:p>
      <w:pPr>
        <w:jc w:val="center"/>
      </w:pPr>
      <w:r>
        <w:rPr>
          <w:rFonts w:ascii="宋体" w:hAnsi="宋体" w:eastAsia="宋体"/>
          <w:b w:val="0"/>
          <w:color w:val="000000"/>
          <w:sz w:val="18"/>
        </w:rPr>
        <w:t>图2 VoxLingua107 外部测试集混淆矩阵</w:t>
      </w:r>
    </w:p>
    <w:p>
      <w:pPr>
        <w:spacing w:before="120" w:after="80"/>
      </w:pPr>
      <w:r>
        <w:rPr>
          <w:rFonts w:ascii="黑体" w:hAnsi="黑体" w:eastAsia="黑体"/>
          <w:b/>
          <w:color w:val="000000"/>
          <w:sz w:val="24"/>
        </w:rPr>
        <w:t>6.3 训练曲线分析</w:t>
      </w:r>
    </w:p>
    <w:p>
      <w:pPr>
        <w:spacing w:line="360" w:lineRule="auto" w:after="60"/>
        <w:ind w:firstLine="480"/>
      </w:pPr>
      <w:r>
        <w:rPr>
          <w:rFonts w:ascii="宋体" w:hAnsi="宋体" w:eastAsia="宋体"/>
          <w:b w:val="0"/>
          <w:color w:val="000000"/>
          <w:sz w:val="24"/>
        </w:rPr>
        <w:t>训练曲线能够反映模型收敛情况。随着训练进行，训练集指标逐渐提升，验证集指标保持较好水平，说明轻量模块能够有效学习语种分类边界。早停和学习率调整保证模型不会无限制训练，减少了过拟合风险。</w:t>
      </w:r>
    </w:p>
    <w:p>
      <w:pPr>
        <w:jc w:val="center"/>
      </w:pPr>
      <w:r>
        <w:drawing>
          <wp:inline xmlns:a="http://schemas.openxmlformats.org/drawingml/2006/main" xmlns:pic="http://schemas.openxmlformats.org/drawingml/2006/picture">
            <wp:extent cx="5120640" cy="2048256"/>
            <wp:docPr id="3" name="Picture 3"/>
            <wp:cNvGraphicFramePr>
              <a:graphicFrameLocks noChangeAspect="1"/>
            </wp:cNvGraphicFramePr>
            <a:graphic>
              <a:graphicData uri="http://schemas.openxmlformats.org/drawingml/2006/picture">
                <pic:pic>
                  <pic:nvPicPr>
                    <pic:cNvPr id="0" name="owsm_adapter_training_curve.png"/>
                    <pic:cNvPicPr/>
                  </pic:nvPicPr>
                  <pic:blipFill>
                    <a:blip r:embed="rId11"/>
                    <a:stretch>
                      <a:fillRect/>
                    </a:stretch>
                  </pic:blipFill>
                  <pic:spPr>
                    <a:xfrm>
                      <a:off x="0" y="0"/>
                      <a:ext cx="5120640" cy="2048256"/>
                    </a:xfrm>
                    <a:prstGeom prst="rect"/>
                  </pic:spPr>
                </pic:pic>
              </a:graphicData>
            </a:graphic>
          </wp:inline>
        </w:drawing>
      </w:r>
    </w:p>
    <w:p>
      <w:pPr>
        <w:jc w:val="center"/>
      </w:pPr>
      <w:r>
        <w:rPr>
          <w:rFonts w:ascii="宋体" w:hAnsi="宋体" w:eastAsia="宋体"/>
          <w:b w:val="0"/>
          <w:color w:val="000000"/>
          <w:sz w:val="18"/>
        </w:rPr>
        <w:t>图3 模型训练曲线</w:t>
      </w:r>
    </w:p>
    <w:p>
      <w:pPr>
        <w:spacing w:before="120" w:after="80"/>
      </w:pPr>
      <w:r>
        <w:rPr>
          <w:rFonts w:ascii="黑体" w:hAnsi="黑体" w:eastAsia="黑体"/>
          <w:b/>
          <w:color w:val="000000"/>
          <w:sz w:val="24"/>
        </w:rPr>
        <w:t>6.4 结果可靠性说明</w:t>
      </w:r>
    </w:p>
    <w:p>
      <w:pPr>
        <w:spacing w:line="360" w:lineRule="auto" w:after="60"/>
        <w:ind w:firstLine="480"/>
      </w:pPr>
      <w:r>
        <w:rPr>
          <w:rFonts w:ascii="宋体" w:hAnsi="宋体" w:eastAsia="宋体"/>
          <w:b w:val="0"/>
          <w:color w:val="000000"/>
          <w:sz w:val="24"/>
        </w:rPr>
        <w:t>内部测试达到 100.00% 不能理解为所有真实场景都能 100% 正确。更严谨的表述是：在当前五个目标语种和当前数据设置下，模型在同源测试集达到 100.00%，在外部 VoxLingua107 测试集达到 99.29%。这说明模型具备较强泛化能力，但对于更多语种、强噪声、远场录音和多人重叠说话场景，还需要继续测试。</w:t>
      </w:r>
    </w:p>
    <w:p>
      <w:pPr>
        <w:spacing w:before="200" w:after="120"/>
      </w:pPr>
      <w:r>
        <w:rPr>
          <w:rFonts w:ascii="黑体" w:hAnsi="黑体" w:eastAsia="黑体"/>
          <w:b/>
          <w:color w:val="000000"/>
          <w:sz w:val="28"/>
        </w:rPr>
        <w:t>7 系统演示与部署说明</w:t>
      </w:r>
    </w:p>
    <w:p>
      <w:pPr>
        <w:spacing w:before="120" w:after="80"/>
      </w:pPr>
      <w:r>
        <w:rPr>
          <w:rFonts w:ascii="黑体" w:hAnsi="黑体" w:eastAsia="黑体"/>
          <w:b/>
          <w:color w:val="000000"/>
          <w:sz w:val="24"/>
        </w:rPr>
        <w:t>7.1 推理流程</w:t>
      </w:r>
    </w:p>
    <w:p>
      <w:pPr>
        <w:spacing w:line="360" w:lineRule="auto" w:after="60"/>
        <w:ind w:firstLine="480"/>
      </w:pPr>
      <w:r>
        <w:rPr>
          <w:rFonts w:ascii="宋体" w:hAnsi="宋体" w:eastAsia="宋体"/>
          <w:b w:val="0"/>
          <w:color w:val="000000"/>
          <w:sz w:val="24"/>
        </w:rPr>
        <w:t>部署时，系统先加载训练好的模型参数和语种标签映射。用户上传音频或录制语音后，后端执行与评估阶段一致的音频预处理，包括单声道转换、16kHz 重采样、音量归一化、固定窗口切分和多窗口融合。模型输出概率后，系统返回预测语种和各语种概率。</w:t>
      </w:r>
    </w:p>
    <w:p>
      <w:pPr>
        <w:spacing w:before="120" w:after="80"/>
      </w:pPr>
      <w:r>
        <w:rPr>
          <w:rFonts w:ascii="黑体" w:hAnsi="黑体" w:eastAsia="黑体"/>
          <w:b/>
          <w:color w:val="000000"/>
          <w:sz w:val="24"/>
        </w:rPr>
        <w:t>7.2 前端展示</w:t>
      </w:r>
    </w:p>
    <w:p>
      <w:pPr>
        <w:spacing w:line="360" w:lineRule="auto" w:after="60"/>
        <w:ind w:firstLine="480"/>
      </w:pPr>
      <w:r>
        <w:rPr>
          <w:rFonts w:ascii="宋体" w:hAnsi="宋体" w:eastAsia="宋体"/>
          <w:b w:val="0"/>
          <w:color w:val="000000"/>
          <w:sz w:val="24"/>
        </w:rPr>
        <w:t>前端页面用于课堂演示，提供上传音频和浏览器录音入口，并展示预测语种、置信度和概率分布。前端并不参与模型计算，只负责把用户输入传给后端，并把后端结果可视化。</w:t>
      </w:r>
    </w:p>
    <w:p>
      <w:pPr>
        <w:spacing w:before="120" w:after="80"/>
      </w:pPr>
      <w:r>
        <w:rPr>
          <w:rFonts w:ascii="黑体" w:hAnsi="黑体" w:eastAsia="黑体"/>
          <w:b/>
          <w:color w:val="000000"/>
          <w:sz w:val="24"/>
        </w:rPr>
        <w:t>7.3 推理速度分析</w:t>
      </w:r>
    </w:p>
    <w:p>
      <w:pPr>
        <w:spacing w:line="360" w:lineRule="auto" w:after="60"/>
        <w:ind w:firstLine="480"/>
      </w:pPr>
      <w:r>
        <w:rPr>
          <w:rFonts w:ascii="宋体" w:hAnsi="宋体" w:eastAsia="宋体"/>
          <w:b w:val="0"/>
          <w:color w:val="000000"/>
          <w:sz w:val="24"/>
        </w:rPr>
        <w:t>系统推理速度受到 OWSM v4 模型规模影响。该模型参数量较大，长音频还需要切成多个窗口分别推理，因此单条音频识别会比轻量模型慢。项目优先保证识别效果和课堂展示稳定性，后续如果需要实时应用，可以考虑模型压缩或轻量化替换。</w:t>
      </w:r>
    </w:p>
    <w:p>
      <w:pPr>
        <w:spacing w:before="200" w:after="120"/>
      </w:pPr>
      <w:r>
        <w:rPr>
          <w:rFonts w:ascii="黑体" w:hAnsi="黑体" w:eastAsia="黑体"/>
          <w:b/>
          <w:color w:val="000000"/>
          <w:sz w:val="28"/>
        </w:rPr>
        <w:t>8 总结与未来展望</w:t>
      </w:r>
    </w:p>
    <w:p>
      <w:pPr>
        <w:spacing w:before="120" w:after="80"/>
      </w:pPr>
      <w:r>
        <w:rPr>
          <w:rFonts w:ascii="黑体" w:hAnsi="黑体" w:eastAsia="黑体"/>
          <w:b/>
          <w:color w:val="000000"/>
          <w:sz w:val="24"/>
        </w:rPr>
        <w:t>8.1 项目总结</w:t>
      </w:r>
    </w:p>
    <w:p>
      <w:pPr>
        <w:spacing w:line="360" w:lineRule="auto" w:after="60"/>
        <w:ind w:firstLine="480"/>
      </w:pPr>
      <w:r>
        <w:rPr>
          <w:rFonts w:ascii="宋体" w:hAnsi="宋体" w:eastAsia="宋体"/>
          <w:b w:val="0"/>
          <w:color w:val="000000"/>
          <w:sz w:val="24"/>
        </w:rPr>
        <w:t>本项目完成了一个从数据准备、音频预处理、模型训练、实验评估到系统演示的完整多语种语种识别系统。项目核心是将 OWSM-CTC v4 预训练语音模型迁移到五语种分类任务，并通过参数高效微调降低训练成本。</w:t>
      </w:r>
    </w:p>
    <w:p>
      <w:pPr>
        <w:spacing w:line="360" w:lineRule="auto" w:after="60"/>
        <w:ind w:firstLine="480"/>
      </w:pPr>
      <w:r>
        <w:rPr>
          <w:rFonts w:ascii="宋体" w:hAnsi="宋体" w:eastAsia="宋体"/>
          <w:b w:val="0"/>
          <w:color w:val="000000"/>
          <w:sz w:val="24"/>
        </w:rPr>
        <w:t>实验结果表明，模型在内部测试集上达到 100.00% 准确率，在外部 VoxLingua107 测试集上达到 99.29% 准确率，说明该方案在当前五个语种范围内具有较好的识别效果和跨数据集泛化能力。</w:t>
      </w:r>
    </w:p>
    <w:p>
      <w:pPr>
        <w:spacing w:before="120" w:after="80"/>
      </w:pPr>
      <w:r>
        <w:rPr>
          <w:rFonts w:ascii="黑体" w:hAnsi="黑体" w:eastAsia="黑体"/>
          <w:b/>
          <w:color w:val="000000"/>
          <w:sz w:val="24"/>
        </w:rPr>
        <w:t>8.2 未来展望</w:t>
      </w:r>
    </w:p>
    <w:p>
      <w:pPr>
        <w:spacing w:line="360" w:lineRule="auto" w:after="60"/>
        <w:ind w:firstLine="480"/>
      </w:pPr>
      <w:r>
        <w:rPr>
          <w:rFonts w:ascii="宋体" w:hAnsi="宋体" w:eastAsia="宋体"/>
          <w:b w:val="0"/>
          <w:color w:val="000000"/>
          <w:sz w:val="24"/>
        </w:rPr>
        <w:t>后续可以从四个方向继续扩展。第一，扩展语种数量，把系统从五语种扩展到更多语种，尤其是低资源语种或方言。第二，提升复杂环境鲁棒性，加入强噪声、混响、远场录音和多人重叠说话数据。第三，优化推理速度，通过模型蒸馏、量化、缓存特征或替换轻量编码器降低推理耗时。第四，完善工程部署能力，例如加入并发请求控制、推理日志、运行状态监控和 GPU 推理队列。</w:t>
      </w:r>
    </w:p>
    <w:p>
      <w:pPr>
        <w:spacing w:line="360" w:lineRule="auto" w:after="60"/>
        <w:ind w:firstLine="480"/>
      </w:pPr>
      <w:r>
        <w:rPr>
          <w:rFonts w:ascii="宋体" w:hAnsi="宋体" w:eastAsia="宋体"/>
          <w:b w:val="0"/>
          <w:color w:val="000000"/>
          <w:sz w:val="24"/>
        </w:rPr>
        <w:t>如果后续面向真实应用，还可以将语种识别结果与自动语音识别模型联动，形成“先判断语言，再进行对应语言转写”的完整多语种语音识别系统。这样可以使本项目从课程演示系统进一步扩展为实际可用的多语种语音处理平台。</w:t>
      </w:r>
    </w:p>
    <w:p>
      <w:pPr>
        <w:spacing w:before="200" w:after="120"/>
      </w:pPr>
      <w:r>
        <w:rPr>
          <w:rFonts w:ascii="黑体" w:hAnsi="黑体" w:eastAsia="黑体"/>
          <w:b/>
          <w:color w:val="000000"/>
          <w:sz w:val="28"/>
        </w:rPr>
        <w:t>参考文献</w:t>
      </w:r>
    </w:p>
    <w:p>
      <w:pPr>
        <w:spacing w:line="360" w:lineRule="auto" w:after="60"/>
      </w:pPr>
      <w:r>
        <w:rPr>
          <w:rFonts w:ascii="宋体" w:hAnsi="宋体" w:eastAsia="宋体"/>
          <w:b w:val="0"/>
          <w:color w:val="000000"/>
          <w:sz w:val="24"/>
        </w:rPr>
        <w:t>[1] Y. Peng et al., “OWSM v4: Improving Open Whisper-Style Speech Models via Data Scaling and Cleaning,” arXiv:2506.00338, 2025.</w:t>
      </w:r>
    </w:p>
    <w:p>
      <w:pPr>
        <w:spacing w:line="360" w:lineRule="auto" w:after="60"/>
      </w:pPr>
      <w:r>
        <w:rPr>
          <w:rFonts w:ascii="宋体" w:hAnsi="宋体" w:eastAsia="宋体"/>
          <w:b w:val="0"/>
          <w:color w:val="000000"/>
          <w:sz w:val="24"/>
        </w:rPr>
        <w:t>[2] Y. Peng et al., “OWSM-CTC: An Open Encoder-Only Speech Foundation Model for Speech Recognition, Translation, and Language Identification,” in Proceedings of ACL, 2024.</w:t>
      </w:r>
    </w:p>
    <w:p>
      <w:pPr>
        <w:spacing w:line="360" w:lineRule="auto" w:after="60"/>
      </w:pPr>
      <w:r>
        <w:rPr>
          <w:rFonts w:ascii="宋体" w:hAnsi="宋体" w:eastAsia="宋体"/>
          <w:b w:val="0"/>
          <w:color w:val="000000"/>
          <w:sz w:val="24"/>
        </w:rPr>
        <w:t>[3] J. Kim et al., “Convolution-Augmented Parameter-Efficient Fine-Tuning for Speech Recognition,” in Proceedings of Interspeech, 2024.</w:t>
      </w:r>
    </w:p>
    <w:p>
      <w:pPr>
        <w:spacing w:line="360" w:lineRule="auto" w:after="60"/>
      </w:pPr>
      <w:r>
        <w:rPr>
          <w:rFonts w:ascii="宋体" w:hAnsi="宋体" w:eastAsia="宋体"/>
          <w:b w:val="0"/>
          <w:color w:val="000000"/>
          <w:sz w:val="24"/>
        </w:rPr>
        <w:t>[4] S. Khanuja et al., “FLEURS: Few-shot Learning Evaluation of Universal Representations of Speech,” arXiv:2205.12446, 2022.</w:t>
      </w:r>
    </w:p>
    <w:p>
      <w:pPr>
        <w:spacing w:line="360" w:lineRule="auto" w:after="60"/>
      </w:pPr>
      <w:r>
        <w:rPr>
          <w:rFonts w:ascii="宋体" w:hAnsi="宋体" w:eastAsia="宋体"/>
          <w:b w:val="0"/>
          <w:color w:val="000000"/>
          <w:sz w:val="24"/>
        </w:rPr>
        <w:t>[5] J. Valk and T. Alumäe, “VoxLingua107: a Dataset for Spoken Language Recognition,” in Proceedings of IEEE SLT, 2021.</w:t>
      </w:r>
    </w:p>
    <w:p>
      <w:pPr>
        <w:spacing w:line="360" w:lineRule="auto" w:after="60"/>
      </w:pPr>
      <w:r>
        <w:rPr>
          <w:rFonts w:ascii="宋体" w:hAnsi="宋体" w:eastAsia="宋体"/>
          <w:b w:val="0"/>
          <w:color w:val="000000"/>
          <w:sz w:val="24"/>
        </w:rPr>
        <w:t>[6] A. Radford et al., “Robust Speech Recognition via Large-Scale Weak Supervision,” in Proceedings of ICML, 2023.</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