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5823" w14:textId="4038D72B" w:rsidR="00857749" w:rsidRDefault="00000000">
      <w:pPr>
        <w:pStyle w:val="1"/>
      </w:pPr>
      <w:r>
        <w:t>多运营商智能选路与共享</w:t>
      </w:r>
      <w:r>
        <w:t xml:space="preserve"> IP </w:t>
      </w:r>
      <w:r>
        <w:t>方案</w:t>
      </w:r>
      <w:r>
        <w:t xml:space="preserve"> </w:t>
      </w:r>
    </w:p>
    <w:p w14:paraId="02D0EC26" w14:textId="394BE15D" w:rsidR="00E76468" w:rsidRDefault="00E76468">
      <w:pPr>
        <w:pStyle w:val="2"/>
      </w:pPr>
      <w:r>
        <w:rPr>
          <w:rFonts w:hint="eastAsia"/>
        </w:rPr>
        <w:t>说明：现因服务器大部分为单链路运营商出口，导致链路中断后无冗余，</w:t>
      </w:r>
      <w:proofErr w:type="gramStart"/>
      <w:r w:rsidR="00172C4A">
        <w:rPr>
          <w:rFonts w:hint="eastAsia"/>
        </w:rPr>
        <w:t>现</w:t>
      </w:r>
      <w:r>
        <w:rPr>
          <w:rFonts w:hint="eastAsia"/>
        </w:rPr>
        <w:t>设计</w:t>
      </w:r>
      <w:proofErr w:type="gramEnd"/>
      <w:r>
        <w:rPr>
          <w:rFonts w:hint="eastAsia"/>
        </w:rPr>
        <w:t>将所有服务器进行多运营商多链路冗余。</w:t>
      </w:r>
    </w:p>
    <w:p w14:paraId="3363F19C" w14:textId="64CF6134" w:rsidR="00857749" w:rsidRDefault="00000000">
      <w:pPr>
        <w:pStyle w:val="2"/>
      </w:pPr>
      <w:r>
        <w:t>一、架构设计</w:t>
      </w:r>
      <w:r>
        <w:t xml:space="preserve"> </w:t>
      </w:r>
    </w:p>
    <w:p w14:paraId="1C38BEAC" w14:textId="581CA49A" w:rsidR="00857749" w:rsidRPr="00E76468" w:rsidRDefault="00503B30">
      <w:pPr>
        <w:pStyle w:val="20"/>
      </w:pPr>
      <w:r>
        <w:rPr>
          <w:noProof/>
        </w:rPr>
        <w:drawing>
          <wp:inline distT="0" distB="0" distL="0" distR="0" wp14:anchorId="5DE38A53" wp14:editId="4A02F767">
            <wp:extent cx="5731510" cy="3994785"/>
            <wp:effectExtent l="0" t="0" r="2540" b="5715"/>
            <wp:docPr id="5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278" w14:textId="77777777" w:rsidR="00857749" w:rsidRDefault="00000000">
      <w:pPr>
        <w:pStyle w:val="2"/>
      </w:pPr>
      <w:r>
        <w:t>二、实施流程</w:t>
      </w:r>
      <w:r>
        <w:t xml:space="preserve"> </w:t>
      </w:r>
    </w:p>
    <w:p w14:paraId="66995C9D" w14:textId="0D1C1AD8" w:rsidR="00857749" w:rsidRDefault="00000000">
      <w:pPr>
        <w:pStyle w:val="3"/>
      </w:pPr>
      <w:r>
        <w:t>阶段</w:t>
      </w:r>
      <w:r>
        <w:t xml:space="preserve"> 1</w:t>
      </w:r>
      <w:r>
        <w:t>：防火墙配置</w:t>
      </w:r>
      <w:r>
        <w:t xml:space="preserve"> </w:t>
      </w:r>
    </w:p>
    <w:p w14:paraId="2482D92A" w14:textId="77777777" w:rsidR="00857749" w:rsidRDefault="00000000" w:rsidP="00E76468">
      <w:pPr>
        <w:pStyle w:val="20"/>
        <w:ind w:left="720"/>
      </w:pPr>
      <w:r>
        <w:rPr>
          <w:b/>
          <w:bCs/>
        </w:rPr>
        <w:t xml:space="preserve">DNAT </w:t>
      </w:r>
      <w:r>
        <w:rPr>
          <w:b/>
          <w:bCs/>
        </w:rPr>
        <w:t>配置（入站流量）</w:t>
      </w:r>
    </w:p>
    <w:p w14:paraId="4AD1E9D6" w14:textId="12165A34" w:rsidR="00857749" w:rsidRDefault="00E76468" w:rsidP="00E76468">
      <w:pPr>
        <w:pStyle w:val="20"/>
        <w:ind w:left="1440"/>
      </w:pPr>
      <w:r>
        <w:rPr>
          <w:rFonts w:hint="eastAsia"/>
        </w:rPr>
        <w:t>三家运营商各出一个地址所有客户进行共享</w:t>
      </w:r>
      <w:r>
        <w:t>：</w:t>
      </w:r>
      <w:r>
        <w:t xml:space="preserve"> </w:t>
      </w:r>
    </w:p>
    <w:p w14:paraId="72049ED1" w14:textId="3B30C27C" w:rsidR="00857749" w:rsidRDefault="00000000" w:rsidP="00E76468">
      <w:pPr>
        <w:pStyle w:val="20"/>
        <w:ind w:left="2160"/>
      </w:pPr>
      <w:r>
        <w:t>电信：</w:t>
      </w:r>
      <w:r w:rsidR="00E76468">
        <w:rPr>
          <w:rFonts w:hint="eastAsia"/>
        </w:rPr>
        <w:t>110.157.241.3</w:t>
      </w:r>
      <w:r>
        <w:t xml:space="preserve"> </w:t>
      </w:r>
    </w:p>
    <w:p w14:paraId="364D9D3B" w14:textId="0FAD0E55" w:rsidR="00857749" w:rsidRDefault="00000000" w:rsidP="00E76468">
      <w:pPr>
        <w:pStyle w:val="20"/>
        <w:ind w:left="2160"/>
      </w:pPr>
      <w:r>
        <w:t>联通：</w:t>
      </w:r>
      <w:r w:rsidR="00E76468" w:rsidRPr="00E76468">
        <w:t>124.88.97.107</w:t>
      </w:r>
      <w:r>
        <w:t xml:space="preserve"> </w:t>
      </w:r>
    </w:p>
    <w:p w14:paraId="5A95AA16" w14:textId="0920FE42" w:rsidR="00857749" w:rsidRDefault="00000000" w:rsidP="00E76468">
      <w:pPr>
        <w:pStyle w:val="20"/>
        <w:ind w:left="2160"/>
      </w:pPr>
      <w:r>
        <w:t>移动：</w:t>
      </w:r>
      <w:r w:rsidR="00E76468" w:rsidRPr="00E76468">
        <w:t>117.190.21.194</w:t>
      </w:r>
    </w:p>
    <w:p w14:paraId="3AAAFD09" w14:textId="77777777" w:rsidR="00857749" w:rsidRDefault="00000000" w:rsidP="00E76468">
      <w:pPr>
        <w:pStyle w:val="20"/>
        <w:ind w:left="1440"/>
      </w:pPr>
      <w:r>
        <w:lastRenderedPageBreak/>
        <w:t>配置端口映射：</w:t>
      </w:r>
      <w:r>
        <w:t xml:space="preserve"> </w:t>
      </w:r>
    </w:p>
    <w:p w14:paraId="4CBA2373" w14:textId="02D79B78" w:rsidR="00857749" w:rsidRDefault="00E76468" w:rsidP="00E76468">
      <w:pPr>
        <w:pStyle w:val="20"/>
        <w:ind w:left="2160"/>
      </w:pPr>
      <w:r>
        <w:rPr>
          <w:rFonts w:hint="eastAsia"/>
        </w:rPr>
        <w:t>由于是共享地址，无法保证映射是内外网为同一</w:t>
      </w:r>
      <w:r>
        <w:t>端口</w:t>
      </w:r>
      <w:r>
        <w:rPr>
          <w:rFonts w:hint="eastAsia"/>
        </w:rPr>
        <w:t>，如需要内外网为同一端口请与商务对接购买独立公网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68DD425" w14:textId="77777777" w:rsidR="00857749" w:rsidRDefault="00000000" w:rsidP="00AE0A3A">
      <w:pPr>
        <w:pStyle w:val="20"/>
        <w:ind w:left="720"/>
      </w:pPr>
      <w:r>
        <w:rPr>
          <w:b/>
          <w:bCs/>
        </w:rPr>
        <w:t xml:space="preserve">SNAT </w:t>
      </w:r>
      <w:r>
        <w:rPr>
          <w:b/>
          <w:bCs/>
        </w:rPr>
        <w:t>策略路由（出站流量）</w:t>
      </w:r>
    </w:p>
    <w:p w14:paraId="7A105C04" w14:textId="516AA0E7" w:rsidR="00857749" w:rsidRDefault="00503B30">
      <w:pPr>
        <w:pStyle w:val="20"/>
      </w:pPr>
      <w:r>
        <w:rPr>
          <w:noProof/>
        </w:rPr>
        <w:drawing>
          <wp:inline distT="0" distB="0" distL="0" distR="0" wp14:anchorId="02AB8C5F" wp14:editId="673DD436">
            <wp:extent cx="5731510" cy="3261360"/>
            <wp:effectExtent l="0" t="0" r="2540" b="0"/>
            <wp:docPr id="6" name="图片 6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7BD" w14:textId="77777777" w:rsidR="00857749" w:rsidRDefault="00000000" w:rsidP="00E76468">
      <w:pPr>
        <w:pStyle w:val="20"/>
        <w:ind w:left="1440"/>
      </w:pPr>
      <w:r>
        <w:t>策略路由规则：</w:t>
      </w:r>
      <w:r>
        <w:t xml:space="preserve"> </w:t>
      </w:r>
    </w:p>
    <w:p w14:paraId="00F760F0" w14:textId="77777777" w:rsidR="00857749" w:rsidRDefault="00000000" w:rsidP="00E76468">
      <w:pPr>
        <w:pStyle w:val="20"/>
        <w:ind w:left="2160"/>
      </w:pPr>
      <w:r>
        <w:t>电信地址库</w:t>
      </w:r>
      <w:r>
        <w:t xml:space="preserve"> → </w:t>
      </w:r>
      <w:r>
        <w:t>强制从电信出口出站</w:t>
      </w:r>
      <w:r>
        <w:t xml:space="preserve"> </w:t>
      </w:r>
    </w:p>
    <w:p w14:paraId="2D4E93A8" w14:textId="77777777" w:rsidR="00857749" w:rsidRDefault="00000000" w:rsidP="00E76468">
      <w:pPr>
        <w:pStyle w:val="20"/>
        <w:ind w:left="2160"/>
      </w:pPr>
      <w:r>
        <w:t>联通地址库</w:t>
      </w:r>
      <w:r>
        <w:t xml:space="preserve"> → </w:t>
      </w:r>
      <w:r>
        <w:t>强制从联通出口出站</w:t>
      </w:r>
      <w:r>
        <w:t xml:space="preserve"> </w:t>
      </w:r>
    </w:p>
    <w:p w14:paraId="0C3DDBB4" w14:textId="054837A9" w:rsidR="00E76468" w:rsidRDefault="00000000" w:rsidP="00E76468">
      <w:pPr>
        <w:pStyle w:val="20"/>
        <w:ind w:left="2160"/>
      </w:pPr>
      <w:r>
        <w:t>移动地址库</w:t>
      </w:r>
      <w:r>
        <w:t xml:space="preserve"> → </w:t>
      </w:r>
      <w:r>
        <w:t>强制从移动出口出站</w:t>
      </w:r>
      <w:r>
        <w:t xml:space="preserve"> </w:t>
      </w:r>
    </w:p>
    <w:p w14:paraId="5CB69CBB" w14:textId="77777777" w:rsidR="00857749" w:rsidRDefault="00000000" w:rsidP="00E76468">
      <w:pPr>
        <w:pStyle w:val="20"/>
        <w:ind w:left="720"/>
      </w:pPr>
      <w:r>
        <w:rPr>
          <w:b/>
          <w:bCs/>
        </w:rPr>
        <w:t>健康检测机制</w:t>
      </w:r>
    </w:p>
    <w:p w14:paraId="64A79570" w14:textId="77777777" w:rsidR="00857749" w:rsidRDefault="00000000" w:rsidP="00E76468">
      <w:pPr>
        <w:pStyle w:val="20"/>
        <w:ind w:left="1440"/>
      </w:pPr>
      <w:r>
        <w:t>链路检测：</w:t>
      </w:r>
      <w:r>
        <w:t xml:space="preserve"> </w:t>
      </w:r>
    </w:p>
    <w:p w14:paraId="0C1CCBEC" w14:textId="42A0D11C" w:rsidR="00857749" w:rsidRDefault="00E76468" w:rsidP="00E76468">
      <w:pPr>
        <w:pStyle w:val="20"/>
        <w:ind w:left="2160"/>
      </w:pPr>
      <w:r>
        <w:rPr>
          <w:rFonts w:hint="eastAsia"/>
        </w:rPr>
        <w:t>持续性监测</w:t>
      </w:r>
      <w:r>
        <w:t xml:space="preserve"> PING </w:t>
      </w:r>
      <w:r>
        <w:t>运营商网关</w:t>
      </w:r>
      <w:r>
        <w:rPr>
          <w:rFonts w:hint="eastAsia"/>
        </w:rPr>
        <w:t>及远端</w:t>
      </w:r>
      <w:r>
        <w:rPr>
          <w:rFonts w:hint="eastAsia"/>
        </w:rPr>
        <w:t>DNS</w:t>
      </w:r>
      <w:r>
        <w:rPr>
          <w:rFonts w:hint="eastAsia"/>
        </w:rPr>
        <w:t>地址</w:t>
      </w:r>
      <w:r>
        <w:t xml:space="preserve"> </w:t>
      </w:r>
    </w:p>
    <w:p w14:paraId="47C7D53B" w14:textId="1F197D35" w:rsidR="00857749" w:rsidRDefault="00000000" w:rsidP="00E76468">
      <w:pPr>
        <w:pStyle w:val="20"/>
        <w:ind w:left="2160"/>
      </w:pPr>
      <w:r>
        <w:t>故障判定：</w:t>
      </w:r>
      <w:r w:rsidR="00E76468">
        <w:rPr>
          <w:rFonts w:hint="eastAsia"/>
        </w:rPr>
        <w:t>连续</w:t>
      </w:r>
      <w:r w:rsidR="00E76468">
        <w:rPr>
          <w:rFonts w:hint="eastAsia"/>
        </w:rPr>
        <w:t>30S</w:t>
      </w:r>
      <w:r w:rsidR="00E76468">
        <w:rPr>
          <w:rFonts w:hint="eastAsia"/>
        </w:rPr>
        <w:t>未响应或丢包</w:t>
      </w:r>
      <w:r>
        <w:t xml:space="preserve"> </w:t>
      </w:r>
    </w:p>
    <w:p w14:paraId="584C109F" w14:textId="77777777" w:rsidR="00857749" w:rsidRDefault="00000000" w:rsidP="00E76468">
      <w:pPr>
        <w:pStyle w:val="20"/>
        <w:ind w:left="1440"/>
      </w:pPr>
      <w:r>
        <w:t>自动切换：</w:t>
      </w:r>
      <w:r>
        <w:t xml:space="preserve"> </w:t>
      </w:r>
    </w:p>
    <w:p w14:paraId="79269BF2" w14:textId="1980DB67" w:rsidR="00857749" w:rsidRDefault="00000000" w:rsidP="00E76468">
      <w:pPr>
        <w:pStyle w:val="20"/>
        <w:ind w:left="2160"/>
      </w:pPr>
      <w:r>
        <w:t>故障链路从路由表中移除</w:t>
      </w:r>
      <w:r w:rsidR="00E76468">
        <w:rPr>
          <w:rFonts w:hint="eastAsia"/>
        </w:rPr>
        <w:t>，自动切换为备用运营商链路</w:t>
      </w:r>
    </w:p>
    <w:p w14:paraId="59397A3D" w14:textId="7F6DBE54" w:rsidR="00857749" w:rsidRDefault="00000000">
      <w:pPr>
        <w:pStyle w:val="3"/>
      </w:pPr>
      <w:r>
        <w:t>阶段</w:t>
      </w:r>
      <w:r>
        <w:t xml:space="preserve"> 2</w:t>
      </w:r>
      <w:r>
        <w:t>：智能</w:t>
      </w:r>
      <w:r>
        <w:t xml:space="preserve"> DNS </w:t>
      </w:r>
      <w:r>
        <w:t>部署</w:t>
      </w:r>
      <w:r>
        <w:t xml:space="preserve"> </w:t>
      </w:r>
    </w:p>
    <w:p w14:paraId="0D136296" w14:textId="36D362B9" w:rsidR="00857749" w:rsidRDefault="00E76468" w:rsidP="00E76468">
      <w:pPr>
        <w:pStyle w:val="20"/>
        <w:ind w:left="720"/>
      </w:pPr>
      <w:r>
        <w:rPr>
          <w:rFonts w:hint="eastAsia"/>
          <w:b/>
          <w:bCs/>
        </w:rPr>
        <w:t>客户</w:t>
      </w:r>
      <w:proofErr w:type="gramStart"/>
      <w:r>
        <w:rPr>
          <w:rFonts w:hint="eastAsia"/>
          <w:b/>
          <w:bCs/>
        </w:rPr>
        <w:t>侧需要</w:t>
      </w:r>
      <w:proofErr w:type="gramEnd"/>
      <w:r>
        <w:rPr>
          <w:rFonts w:hint="eastAsia"/>
          <w:b/>
          <w:bCs/>
        </w:rPr>
        <w:t>自行部署智能</w:t>
      </w:r>
      <w:r>
        <w:rPr>
          <w:rFonts w:hint="eastAsia"/>
          <w:b/>
          <w:bCs/>
        </w:rPr>
        <w:t>DNS</w:t>
      </w:r>
    </w:p>
    <w:p w14:paraId="3BB9C19A" w14:textId="17A2928F" w:rsidR="00857749" w:rsidRDefault="00000000" w:rsidP="00E76468">
      <w:pPr>
        <w:pStyle w:val="20"/>
        <w:ind w:left="1440"/>
      </w:pPr>
      <w:r>
        <w:t>主域名：</w:t>
      </w:r>
      <w:r w:rsidR="00E76468" w:rsidRPr="0034295D">
        <w:rPr>
          <w:rFonts w:hint="eastAsia"/>
        </w:rPr>
        <w:t>域名绑定三家运营商地址</w:t>
      </w:r>
    </w:p>
    <w:p w14:paraId="196B0214" w14:textId="2B40CF30" w:rsidR="00857749" w:rsidRDefault="00000000" w:rsidP="001856C6">
      <w:pPr>
        <w:pStyle w:val="20"/>
        <w:ind w:left="2160"/>
      </w:pPr>
      <w:r>
        <w:t xml:space="preserve"> </w:t>
      </w:r>
    </w:p>
    <w:p w14:paraId="05F77ED1" w14:textId="77777777" w:rsidR="00857749" w:rsidRDefault="00000000" w:rsidP="001856C6">
      <w:pPr>
        <w:pStyle w:val="20"/>
        <w:ind w:left="720"/>
      </w:pPr>
      <w:r>
        <w:rPr>
          <w:b/>
          <w:bCs/>
        </w:rPr>
        <w:lastRenderedPageBreak/>
        <w:t>故障切换流程</w:t>
      </w:r>
    </w:p>
    <w:p w14:paraId="02C8D320" w14:textId="26C0491E" w:rsidR="00857749" w:rsidRDefault="001856C6">
      <w:pPr>
        <w:pStyle w:val="20"/>
      </w:pPr>
      <w:r>
        <w:rPr>
          <w:noProof/>
        </w:rPr>
        <w:drawing>
          <wp:inline distT="0" distB="0" distL="0" distR="0" wp14:anchorId="39C1DA4B" wp14:editId="46CBE59A">
            <wp:extent cx="5731510" cy="2501900"/>
            <wp:effectExtent l="0" t="0" r="2540" b="0"/>
            <wp:docPr id="3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5695" w14:textId="77777777" w:rsidR="00857749" w:rsidRDefault="00000000">
      <w:pPr>
        <w:pStyle w:val="3"/>
      </w:pPr>
      <w:r>
        <w:t>阶段</w:t>
      </w:r>
      <w:r>
        <w:t xml:space="preserve"> 3</w:t>
      </w:r>
      <w:r>
        <w:t>：客户分级服务</w:t>
      </w:r>
      <w:r>
        <w:t xml:space="preserve"> </w:t>
      </w:r>
    </w:p>
    <w:p w14:paraId="32298C90" w14:textId="77777777" w:rsidR="00857749" w:rsidRDefault="00000000" w:rsidP="001856C6">
      <w:pPr>
        <w:pStyle w:val="20"/>
        <w:ind w:left="720"/>
      </w:pPr>
      <w:r>
        <w:rPr>
          <w:b/>
          <w:bCs/>
        </w:rPr>
        <w:t>共享服务（免费）</w:t>
      </w:r>
    </w:p>
    <w:p w14:paraId="7F024281" w14:textId="7C70EB9C" w:rsidR="00857749" w:rsidRDefault="00000000" w:rsidP="001856C6">
      <w:pPr>
        <w:pStyle w:val="20"/>
        <w:ind w:left="1440"/>
      </w:pPr>
      <w:r>
        <w:t>使用共享</w:t>
      </w:r>
      <w:r>
        <w:t xml:space="preserve"> IP </w:t>
      </w:r>
      <w:r>
        <w:t>池</w:t>
      </w:r>
    </w:p>
    <w:p w14:paraId="14BE5909" w14:textId="0084AA5B" w:rsidR="00857749" w:rsidRDefault="001856C6" w:rsidP="001856C6">
      <w:pPr>
        <w:pStyle w:val="20"/>
        <w:ind w:left="1440"/>
      </w:pPr>
      <w:r>
        <w:rPr>
          <w:rFonts w:hint="eastAsia"/>
        </w:rPr>
        <w:t>因</w:t>
      </w:r>
      <w:r>
        <w:rPr>
          <w:rFonts w:hint="eastAsia"/>
        </w:rPr>
        <w:t>IP</w:t>
      </w:r>
      <w:r>
        <w:rPr>
          <w:rFonts w:hint="eastAsia"/>
        </w:rPr>
        <w:t>地址端口有限，如端口已用完则需要排队</w:t>
      </w:r>
      <w:r>
        <w:t xml:space="preserve"> </w:t>
      </w:r>
    </w:p>
    <w:p w14:paraId="656A5FA5" w14:textId="77777777" w:rsidR="00857749" w:rsidRDefault="00000000" w:rsidP="001856C6">
      <w:pPr>
        <w:pStyle w:val="20"/>
        <w:ind w:left="720"/>
      </w:pPr>
      <w:r>
        <w:rPr>
          <w:b/>
          <w:bCs/>
        </w:rPr>
        <w:t>独享服务（付费）</w:t>
      </w:r>
    </w:p>
    <w:p w14:paraId="3CE431AE" w14:textId="315098F1" w:rsidR="00857749" w:rsidRPr="001856C6" w:rsidRDefault="001856C6" w:rsidP="001856C6">
      <w:pPr>
        <w:pStyle w:val="20"/>
        <w:ind w:left="1440"/>
      </w:pPr>
      <w:r>
        <w:rPr>
          <w:rFonts w:hint="eastAsia"/>
        </w:rPr>
        <w:t>可与商务对接具体事项</w:t>
      </w:r>
    </w:p>
    <w:p w14:paraId="516A8217" w14:textId="52755675" w:rsidR="00857749" w:rsidRDefault="00000000">
      <w:pPr>
        <w:pStyle w:val="3"/>
      </w:pPr>
      <w:r>
        <w:t>阶段</w:t>
      </w:r>
      <w:r>
        <w:t xml:space="preserve"> 4</w:t>
      </w:r>
      <w:r>
        <w:t>：切换测试</w:t>
      </w:r>
      <w:r>
        <w:t xml:space="preserve"> </w:t>
      </w:r>
    </w:p>
    <w:p w14:paraId="7E0D8C2F" w14:textId="77777777" w:rsidR="00857749" w:rsidRDefault="00000000" w:rsidP="001856C6">
      <w:pPr>
        <w:pStyle w:val="20"/>
        <w:ind w:left="720"/>
      </w:pPr>
      <w:r>
        <w:rPr>
          <w:b/>
          <w:bCs/>
        </w:rPr>
        <w:t xml:space="preserve">DNAT </w:t>
      </w:r>
      <w:r>
        <w:rPr>
          <w:b/>
          <w:bCs/>
        </w:rPr>
        <w:t>故障测试</w:t>
      </w:r>
    </w:p>
    <w:p w14:paraId="68C7F37D" w14:textId="77777777" w:rsidR="00857749" w:rsidRDefault="00000000" w:rsidP="001856C6">
      <w:pPr>
        <w:pStyle w:val="20"/>
        <w:ind w:left="1440"/>
      </w:pPr>
      <w:r>
        <w:t>断开电信出口</w:t>
      </w:r>
      <w:r>
        <w:t xml:space="preserve"> → </w:t>
      </w:r>
      <w:r>
        <w:t>验证：</w:t>
      </w:r>
      <w:r>
        <w:t xml:space="preserve"> </w:t>
      </w:r>
    </w:p>
    <w:p w14:paraId="59D4EB89" w14:textId="77777777" w:rsidR="00857749" w:rsidRDefault="00000000" w:rsidP="001856C6">
      <w:pPr>
        <w:pStyle w:val="20"/>
        <w:ind w:left="2160"/>
      </w:pPr>
      <w:r>
        <w:t>新访问流量自动避开电信</w:t>
      </w:r>
      <w:r>
        <w:t xml:space="preserve"> IP </w:t>
      </w:r>
    </w:p>
    <w:p w14:paraId="786D1CD1" w14:textId="77777777" w:rsidR="00857749" w:rsidRDefault="00000000" w:rsidP="001856C6">
      <w:pPr>
        <w:pStyle w:val="20"/>
        <w:ind w:left="720"/>
      </w:pPr>
      <w:r>
        <w:rPr>
          <w:b/>
          <w:bCs/>
        </w:rPr>
        <w:t xml:space="preserve">SNAT </w:t>
      </w:r>
      <w:r>
        <w:rPr>
          <w:b/>
          <w:bCs/>
        </w:rPr>
        <w:t>策略测试</w:t>
      </w:r>
    </w:p>
    <w:p w14:paraId="0CF77238" w14:textId="77777777" w:rsidR="00857749" w:rsidRDefault="00000000" w:rsidP="001856C6">
      <w:pPr>
        <w:pStyle w:val="20"/>
        <w:ind w:left="1440"/>
      </w:pPr>
      <w:r>
        <w:t>服务器访问测试：</w:t>
      </w:r>
      <w:r>
        <w:t xml:space="preserve"> </w:t>
      </w:r>
    </w:p>
    <w:p w14:paraId="0BE57E3A" w14:textId="352F010A" w:rsidR="00857749" w:rsidRDefault="001856C6" w:rsidP="001856C6">
      <w:pPr>
        <w:pStyle w:val="20"/>
        <w:ind w:left="2160"/>
      </w:pPr>
      <w:r>
        <w:rPr>
          <w:rFonts w:hint="eastAsia"/>
        </w:rPr>
        <w:t>测试出口运营商，如出口运营商为电信则因返回电信</w:t>
      </w:r>
      <w:r>
        <w:rPr>
          <w:rFonts w:hint="eastAsia"/>
        </w:rPr>
        <w:t>IP</w:t>
      </w:r>
      <w:r>
        <w:rPr>
          <w:rFonts w:hint="eastAsia"/>
        </w:rPr>
        <w:t>以此类推</w:t>
      </w:r>
    </w:p>
    <w:p w14:paraId="4309474D" w14:textId="77777777" w:rsidR="00857749" w:rsidRDefault="00000000">
      <w:pPr>
        <w:pStyle w:val="3"/>
      </w:pPr>
      <w:r>
        <w:t>阶段</w:t>
      </w:r>
      <w:r>
        <w:t xml:space="preserve"> 5</w:t>
      </w:r>
      <w:r>
        <w:t>：客户迁移</w:t>
      </w:r>
      <w:r>
        <w:t xml:space="preserve"> </w:t>
      </w:r>
    </w:p>
    <w:p w14:paraId="56013ACD" w14:textId="2B5B1515" w:rsidR="00857749" w:rsidRDefault="00000000" w:rsidP="001856C6">
      <w:pPr>
        <w:pStyle w:val="20"/>
        <w:ind w:left="720"/>
      </w:pPr>
      <w:r>
        <w:rPr>
          <w:b/>
          <w:bCs/>
        </w:rPr>
        <w:t>共享客户</w:t>
      </w:r>
    </w:p>
    <w:p w14:paraId="08399E8C" w14:textId="77777777" w:rsidR="00857749" w:rsidRDefault="00000000" w:rsidP="001856C6">
      <w:pPr>
        <w:pStyle w:val="20"/>
        <w:ind w:left="1440"/>
      </w:pPr>
      <w:r>
        <w:t>步骤：</w:t>
      </w:r>
      <w:r>
        <w:t xml:space="preserve"> </w:t>
      </w:r>
    </w:p>
    <w:p w14:paraId="25840CB2" w14:textId="494337A1" w:rsidR="00857749" w:rsidRDefault="001856C6" w:rsidP="001856C6">
      <w:pPr>
        <w:pStyle w:val="20"/>
        <w:ind w:left="2160"/>
      </w:pPr>
      <w:r>
        <w:rPr>
          <w:rFonts w:hint="eastAsia"/>
        </w:rPr>
        <w:t>因现阶段大部分客户使用单链路，开启多链路冗余涉及到公网</w:t>
      </w:r>
      <w:r>
        <w:rPr>
          <w:rFonts w:hint="eastAsia"/>
        </w:rPr>
        <w:t>IP</w:t>
      </w:r>
      <w:r>
        <w:rPr>
          <w:rFonts w:hint="eastAsia"/>
        </w:rPr>
        <w:t>地址端口规划，需要客户配合进行重新分配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14:paraId="3C1EDC99" w14:textId="067B1BBC" w:rsidR="00857749" w:rsidRDefault="00000000" w:rsidP="001856C6">
      <w:pPr>
        <w:pStyle w:val="20"/>
        <w:ind w:left="720"/>
      </w:pPr>
      <w:r>
        <w:rPr>
          <w:b/>
          <w:bCs/>
        </w:rPr>
        <w:lastRenderedPageBreak/>
        <w:t>独享客户</w:t>
      </w:r>
    </w:p>
    <w:p w14:paraId="6747482A" w14:textId="4B3FE616" w:rsidR="00857749" w:rsidRDefault="001856C6" w:rsidP="001856C6">
      <w:pPr>
        <w:pStyle w:val="20"/>
        <w:ind w:left="1440"/>
      </w:pPr>
      <w:r>
        <w:rPr>
          <w:rFonts w:hint="eastAsia"/>
        </w:rPr>
        <w:t>需和客户沟通是否再需要其他两家独立的</w:t>
      </w:r>
      <w:r>
        <w:rPr>
          <w:rFonts w:hint="eastAsia"/>
        </w:rPr>
        <w:t>IP</w:t>
      </w:r>
      <w:r>
        <w:rPr>
          <w:rFonts w:hint="eastAsia"/>
        </w:rPr>
        <w:t>地址，如不需要则使用共享</w:t>
      </w:r>
      <w:r>
        <w:rPr>
          <w:rFonts w:hint="eastAsia"/>
        </w:rPr>
        <w:t>IP</w:t>
      </w:r>
      <w:r>
        <w:rPr>
          <w:rFonts w:hint="eastAsia"/>
        </w:rPr>
        <w:t>地址进行分配</w:t>
      </w:r>
    </w:p>
    <w:p w14:paraId="5F52DF6B" w14:textId="77777777" w:rsidR="00857749" w:rsidRDefault="00000000">
      <w:pPr>
        <w:pStyle w:val="2"/>
      </w:pPr>
      <w:r>
        <w:t>三、核心优化点</w:t>
      </w:r>
      <w:r>
        <w:t xml:space="preserve"> </w:t>
      </w:r>
    </w:p>
    <w:p w14:paraId="0951EFC1" w14:textId="77777777" w:rsidR="00857749" w:rsidRDefault="00000000" w:rsidP="001856C6">
      <w:pPr>
        <w:pStyle w:val="20"/>
        <w:ind w:left="720"/>
      </w:pPr>
      <w:r>
        <w:rPr>
          <w:b/>
          <w:bCs/>
        </w:rPr>
        <w:t xml:space="preserve">DNAT </w:t>
      </w:r>
      <w:r>
        <w:rPr>
          <w:b/>
          <w:bCs/>
        </w:rPr>
        <w:t>共享</w:t>
      </w:r>
      <w:r>
        <w:rPr>
          <w:b/>
          <w:bCs/>
        </w:rPr>
        <w:t xml:space="preserve"> IP </w:t>
      </w:r>
      <w:r>
        <w:rPr>
          <w:b/>
          <w:bCs/>
        </w:rPr>
        <w:t>池</w:t>
      </w:r>
    </w:p>
    <w:p w14:paraId="27677776" w14:textId="77777777" w:rsidR="00857749" w:rsidRDefault="00000000" w:rsidP="001856C6">
      <w:pPr>
        <w:pStyle w:val="20"/>
        <w:ind w:left="1440"/>
      </w:pPr>
      <w:r>
        <w:t>所有客户共享</w:t>
      </w:r>
      <w:r>
        <w:t xml:space="preserve"> 3 </w:t>
      </w:r>
      <w:proofErr w:type="gramStart"/>
      <w:r>
        <w:t>个</w:t>
      </w:r>
      <w:proofErr w:type="gramEnd"/>
      <w:r>
        <w:t>运营商</w:t>
      </w:r>
      <w:r>
        <w:t xml:space="preserve"> IP </w:t>
      </w:r>
    </w:p>
    <w:p w14:paraId="475EB41F" w14:textId="1260C908" w:rsidR="00857749" w:rsidRDefault="00000000" w:rsidP="001856C6">
      <w:pPr>
        <w:pStyle w:val="20"/>
        <w:ind w:left="1440"/>
      </w:pPr>
      <w:r>
        <w:t>通过端口</w:t>
      </w:r>
      <w:r w:rsidR="001856C6">
        <w:rPr>
          <w:rFonts w:hint="eastAsia"/>
        </w:rPr>
        <w:t>分配达到同一</w:t>
      </w:r>
      <w:r w:rsidR="001856C6">
        <w:rPr>
          <w:rFonts w:hint="eastAsia"/>
        </w:rPr>
        <w:t>IP</w:t>
      </w:r>
      <w:r>
        <w:t>支持多客户：</w:t>
      </w:r>
      <w:r>
        <w:t xml:space="preserve"> </w:t>
      </w:r>
    </w:p>
    <w:p w14:paraId="1730E354" w14:textId="260CE4A4" w:rsidR="00857749" w:rsidRDefault="00000000" w:rsidP="001856C6">
      <w:pPr>
        <w:pStyle w:val="20"/>
        <w:ind w:left="2160"/>
      </w:pPr>
      <w:proofErr w:type="gramStart"/>
      <w:r>
        <w:t>每客户</w:t>
      </w:r>
      <w:proofErr w:type="gramEnd"/>
      <w:r>
        <w:t>使用不同端口范围</w:t>
      </w:r>
      <w:r>
        <w:t xml:space="preserve"> </w:t>
      </w:r>
    </w:p>
    <w:p w14:paraId="498DCDBB" w14:textId="77777777" w:rsidR="00857749" w:rsidRDefault="00000000" w:rsidP="001856C6">
      <w:pPr>
        <w:pStyle w:val="20"/>
        <w:ind w:left="720"/>
      </w:pPr>
      <w:r>
        <w:rPr>
          <w:b/>
          <w:bCs/>
        </w:rPr>
        <w:t xml:space="preserve">SNAT </w:t>
      </w:r>
      <w:r>
        <w:rPr>
          <w:b/>
          <w:bCs/>
        </w:rPr>
        <w:t>智能选路</w:t>
      </w:r>
    </w:p>
    <w:p w14:paraId="601A4BF5" w14:textId="77777777" w:rsidR="00857749" w:rsidRDefault="00000000" w:rsidP="001856C6">
      <w:pPr>
        <w:pStyle w:val="20"/>
        <w:ind w:left="1440"/>
      </w:pPr>
      <w:r>
        <w:t>基于目的</w:t>
      </w:r>
      <w:r>
        <w:t xml:space="preserve"> IP </w:t>
      </w:r>
      <w:r>
        <w:t>的运营商数据库</w:t>
      </w:r>
      <w:r>
        <w:t xml:space="preserve"> </w:t>
      </w:r>
    </w:p>
    <w:p w14:paraId="6BE0EBB7" w14:textId="77777777" w:rsidR="00857749" w:rsidRDefault="00000000" w:rsidP="001856C6">
      <w:pPr>
        <w:pStyle w:val="20"/>
        <w:ind w:left="1440"/>
      </w:pPr>
      <w:r>
        <w:t>时延优化：强制同运营商访问</w:t>
      </w:r>
      <w:r>
        <w:t xml:space="preserve"> </w:t>
      </w:r>
    </w:p>
    <w:p w14:paraId="2EBFB308" w14:textId="6F2660A1" w:rsidR="00857749" w:rsidRDefault="001856C6" w:rsidP="001856C6">
      <w:pPr>
        <w:pStyle w:val="20"/>
        <w:ind w:left="720"/>
      </w:pPr>
      <w:r>
        <w:rPr>
          <w:rFonts w:hint="eastAsia"/>
          <w:b/>
          <w:bCs/>
        </w:rPr>
        <w:t>带宽资源</w:t>
      </w:r>
      <w:r>
        <w:rPr>
          <w:b/>
          <w:bCs/>
        </w:rPr>
        <w:t>保障</w:t>
      </w:r>
    </w:p>
    <w:p w14:paraId="3BEF5B0D" w14:textId="40BF1194" w:rsidR="00857749" w:rsidRPr="0034295D" w:rsidRDefault="001856C6" w:rsidP="0034295D">
      <w:pPr>
        <w:pStyle w:val="20"/>
        <w:ind w:left="1440"/>
      </w:pPr>
      <w:r>
        <w:rPr>
          <w:rFonts w:hint="eastAsia"/>
        </w:rPr>
        <w:t>由于现阶段带宽为</w:t>
      </w:r>
      <w:r>
        <w:rPr>
          <w:rFonts w:hint="eastAsia"/>
        </w:rPr>
        <w:t>1G</w:t>
      </w:r>
      <w:r>
        <w:rPr>
          <w:rFonts w:hint="eastAsia"/>
        </w:rPr>
        <w:t>，已经出现带宽不够的情况，需要进行带宽扩容</w:t>
      </w:r>
    </w:p>
    <w:sectPr w:rsidR="00857749" w:rsidRPr="0034295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F48"/>
    <w:multiLevelType w:val="multilevel"/>
    <w:tmpl w:val="7EBA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B618E"/>
    <w:multiLevelType w:val="hybridMultilevel"/>
    <w:tmpl w:val="99F0F318"/>
    <w:lvl w:ilvl="0" w:tplc="69624940">
      <w:start w:val="1"/>
      <w:numFmt w:val="bullet"/>
      <w:lvlText w:val="●"/>
      <w:lvlJc w:val="left"/>
      <w:pPr>
        <w:ind w:left="720" w:hanging="360"/>
      </w:pPr>
    </w:lvl>
    <w:lvl w:ilvl="1" w:tplc="75A80A80">
      <w:start w:val="1"/>
      <w:numFmt w:val="bullet"/>
      <w:lvlText w:val="○"/>
      <w:lvlJc w:val="left"/>
      <w:pPr>
        <w:ind w:left="1440" w:hanging="360"/>
      </w:pPr>
    </w:lvl>
    <w:lvl w:ilvl="2" w:tplc="34C60FC4">
      <w:start w:val="1"/>
      <w:numFmt w:val="bullet"/>
      <w:lvlText w:val="■"/>
      <w:lvlJc w:val="left"/>
      <w:pPr>
        <w:ind w:left="2160" w:hanging="360"/>
      </w:pPr>
    </w:lvl>
    <w:lvl w:ilvl="3" w:tplc="3DC2BBBA">
      <w:start w:val="1"/>
      <w:numFmt w:val="bullet"/>
      <w:lvlText w:val="●"/>
      <w:lvlJc w:val="left"/>
      <w:pPr>
        <w:ind w:left="2880" w:hanging="360"/>
      </w:pPr>
    </w:lvl>
    <w:lvl w:ilvl="4" w:tplc="42CC1248">
      <w:start w:val="1"/>
      <w:numFmt w:val="bullet"/>
      <w:lvlText w:val="○"/>
      <w:lvlJc w:val="left"/>
      <w:pPr>
        <w:ind w:left="3600" w:hanging="360"/>
      </w:pPr>
    </w:lvl>
    <w:lvl w:ilvl="5" w:tplc="B62064C4">
      <w:start w:val="1"/>
      <w:numFmt w:val="bullet"/>
      <w:lvlText w:val="■"/>
      <w:lvlJc w:val="left"/>
      <w:pPr>
        <w:ind w:left="4320" w:hanging="360"/>
      </w:pPr>
    </w:lvl>
    <w:lvl w:ilvl="6" w:tplc="46FA4BA2">
      <w:start w:val="1"/>
      <w:numFmt w:val="bullet"/>
      <w:lvlText w:val="●"/>
      <w:lvlJc w:val="left"/>
      <w:pPr>
        <w:ind w:left="5040" w:hanging="360"/>
      </w:pPr>
    </w:lvl>
    <w:lvl w:ilvl="7" w:tplc="18A4A3F8">
      <w:start w:val="1"/>
      <w:numFmt w:val="bullet"/>
      <w:lvlText w:val="●"/>
      <w:lvlJc w:val="left"/>
      <w:pPr>
        <w:ind w:left="5760" w:hanging="360"/>
      </w:pPr>
    </w:lvl>
    <w:lvl w:ilvl="8" w:tplc="D158AC28">
      <w:start w:val="1"/>
      <w:numFmt w:val="bullet"/>
      <w:lvlText w:val="●"/>
      <w:lvlJc w:val="left"/>
      <w:pPr>
        <w:ind w:left="6480" w:hanging="360"/>
      </w:pPr>
    </w:lvl>
  </w:abstractNum>
  <w:num w:numId="1" w16cid:durableId="975377345">
    <w:abstractNumId w:val="0"/>
  </w:num>
  <w:num w:numId="2" w16cid:durableId="2027705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8667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8544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9919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475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6069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147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2392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1455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1963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0325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1812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3750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5823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5278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59146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0946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6332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84575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1468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49"/>
    <w:rsid w:val="00172C4A"/>
    <w:rsid w:val="001856C6"/>
    <w:rsid w:val="0034295D"/>
    <w:rsid w:val="00503B30"/>
    <w:rsid w:val="00813ACD"/>
    <w:rsid w:val="00832DC8"/>
    <w:rsid w:val="00857749"/>
    <w:rsid w:val="00AE0A3A"/>
    <w:rsid w:val="00E7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E9F"/>
  <w15:docId w15:val="{C7A5E027-96BE-4637-A128-BB825E55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凯 孙</cp:lastModifiedBy>
  <cp:revision>7</cp:revision>
  <dcterms:created xsi:type="dcterms:W3CDTF">2025-07-10T09:41:00Z</dcterms:created>
  <dcterms:modified xsi:type="dcterms:W3CDTF">2025-07-10T10:25:00Z</dcterms:modified>
</cp:coreProperties>
</file>