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2E4DA8">
      <w:pPr>
        <w:jc w:val="center"/>
        <w:rPr>
          <w:rFonts w:hint="eastAsia"/>
          <w:b/>
          <w:bCs/>
          <w:sz w:val="36"/>
          <w:szCs w:val="44"/>
          <w:lang w:val="en-US" w:eastAsia="zh-CN"/>
        </w:rPr>
      </w:pPr>
      <w:r>
        <w:rPr>
          <w:rFonts w:hint="eastAsia"/>
          <w:b/>
          <w:bCs/>
          <w:sz w:val="36"/>
          <w:szCs w:val="44"/>
          <w:lang w:val="en-US" w:eastAsia="zh-CN"/>
        </w:rPr>
        <w:t>服务器操作系统部署要求</w:t>
      </w:r>
    </w:p>
    <w:p w14:paraId="0EBA9623">
      <w:pPr>
        <w:jc w:val="both"/>
        <w:rPr>
          <w:rFonts w:hint="eastAsia"/>
          <w:b w:val="0"/>
          <w:bCs w:val="0"/>
          <w:sz w:val="28"/>
          <w:szCs w:val="36"/>
          <w:lang w:val="en-US" w:eastAsia="zh-CN"/>
        </w:rPr>
      </w:pPr>
      <w:r>
        <w:rPr>
          <w:rFonts w:hint="eastAsia"/>
          <w:b/>
          <w:bCs/>
          <w:sz w:val="28"/>
          <w:szCs w:val="36"/>
          <w:lang w:val="en-US" w:eastAsia="zh-CN"/>
        </w:rPr>
        <w:t>部署系统：</w:t>
      </w:r>
      <w:r>
        <w:rPr>
          <w:rFonts w:hint="eastAsia"/>
          <w:b w:val="0"/>
          <w:bCs w:val="0"/>
          <w:sz w:val="28"/>
          <w:szCs w:val="36"/>
          <w:lang w:val="en-US" w:eastAsia="zh-CN"/>
        </w:rPr>
        <w:t>openEuler 22.03 SP2</w:t>
      </w:r>
    </w:p>
    <w:p w14:paraId="7E6EBBC8">
      <w:pPr>
        <w:jc w:val="both"/>
        <w:rPr>
          <w:rFonts w:hint="eastAsia"/>
          <w:b w:val="0"/>
          <w:bCs w:val="0"/>
          <w:sz w:val="28"/>
          <w:szCs w:val="36"/>
          <w:lang w:val="en-US" w:eastAsia="zh-CN"/>
        </w:rPr>
      </w:pPr>
      <w:r>
        <w:rPr>
          <w:rFonts w:hint="eastAsia"/>
          <w:b/>
          <w:bCs/>
          <w:sz w:val="28"/>
          <w:szCs w:val="36"/>
          <w:lang w:val="en-US" w:eastAsia="zh-CN"/>
        </w:rPr>
        <w:t>下载链接：</w:t>
      </w:r>
    </w:p>
    <w:p w14:paraId="465E8D2B">
      <w:pPr>
        <w:jc w:val="both"/>
        <w:rPr>
          <w:rFonts w:hint="default"/>
          <w:b w:val="0"/>
          <w:bCs w:val="0"/>
          <w:sz w:val="28"/>
          <w:szCs w:val="36"/>
          <w:lang w:val="en-US" w:eastAsia="zh-CN"/>
        </w:rPr>
      </w:pPr>
      <w:r>
        <w:rPr>
          <w:rFonts w:hint="default"/>
          <w:b w:val="0"/>
          <w:bCs w:val="0"/>
          <w:sz w:val="28"/>
          <w:szCs w:val="36"/>
          <w:lang w:val="en-US" w:eastAsia="zh-CN"/>
        </w:rPr>
        <w:fldChar w:fldCharType="begin"/>
      </w:r>
      <w:r>
        <w:rPr>
          <w:rFonts w:hint="default"/>
          <w:b w:val="0"/>
          <w:bCs w:val="0"/>
          <w:sz w:val="28"/>
          <w:szCs w:val="36"/>
          <w:lang w:val="en-US" w:eastAsia="zh-CN"/>
        </w:rPr>
        <w:instrText xml:space="preserve"> HYPERLINK "https://www.openeuler.org/zh/download/archive/detail/?version=openEuler%2022.03%20LTS%20SP2" </w:instrText>
      </w:r>
      <w:r>
        <w:rPr>
          <w:rFonts w:hint="default"/>
          <w:b w:val="0"/>
          <w:bCs w:val="0"/>
          <w:sz w:val="28"/>
          <w:szCs w:val="36"/>
          <w:lang w:val="en-US" w:eastAsia="zh-CN"/>
        </w:rPr>
        <w:fldChar w:fldCharType="separate"/>
      </w:r>
      <w:r>
        <w:rPr>
          <w:rStyle w:val="4"/>
          <w:rFonts w:hint="default"/>
          <w:b w:val="0"/>
          <w:bCs w:val="0"/>
          <w:sz w:val="28"/>
          <w:szCs w:val="36"/>
          <w:lang w:val="en-US" w:eastAsia="zh-CN"/>
        </w:rPr>
        <w:t>https://www.openeuler.org/zh/download/archive/detail/?version=openEuler%2022.03%20LTS%20SP2</w:t>
      </w:r>
      <w:r>
        <w:rPr>
          <w:rFonts w:hint="default"/>
          <w:b w:val="0"/>
          <w:bCs w:val="0"/>
          <w:sz w:val="28"/>
          <w:szCs w:val="36"/>
          <w:lang w:val="en-US" w:eastAsia="zh-CN"/>
        </w:rPr>
        <w:fldChar w:fldCharType="end"/>
      </w:r>
    </w:p>
    <w:p w14:paraId="693B5D13">
      <w:pPr>
        <w:jc w:val="both"/>
        <w:rPr>
          <w:rFonts w:hint="default"/>
          <w:b w:val="0"/>
          <w:bCs w:val="0"/>
          <w:sz w:val="28"/>
          <w:szCs w:val="36"/>
          <w:lang w:val="en-US" w:eastAsia="zh-CN"/>
        </w:rPr>
      </w:pPr>
    </w:p>
    <w:p w14:paraId="04604B32">
      <w:pPr>
        <w:jc w:val="both"/>
        <w:rPr>
          <w:rFonts w:hint="eastAsia"/>
          <w:b/>
          <w:bCs/>
          <w:sz w:val="28"/>
          <w:szCs w:val="36"/>
          <w:lang w:val="en-US" w:eastAsia="zh-CN"/>
        </w:rPr>
      </w:pPr>
      <w:r>
        <w:rPr>
          <w:rFonts w:hint="eastAsia"/>
          <w:b/>
          <w:bCs/>
          <w:sz w:val="28"/>
          <w:szCs w:val="36"/>
          <w:lang w:val="en-US" w:eastAsia="zh-CN"/>
        </w:rPr>
        <w:t>部署要求：</w:t>
      </w:r>
    </w:p>
    <w:p w14:paraId="2545BAD1">
      <w:pPr>
        <w:numPr>
          <w:ilvl w:val="0"/>
          <w:numId w:val="1"/>
        </w:numPr>
        <w:ind w:left="0" w:leftChars="0" w:firstLine="0" w:firstLineChars="0"/>
        <w:jc w:val="both"/>
        <w:rPr>
          <w:rFonts w:hint="eastAsia"/>
          <w:b w:val="0"/>
          <w:bCs w:val="0"/>
          <w:sz w:val="28"/>
          <w:szCs w:val="36"/>
          <w:lang w:val="en-US" w:eastAsia="zh-CN"/>
        </w:rPr>
      </w:pPr>
      <w:r>
        <w:rPr>
          <w:rFonts w:hint="eastAsia"/>
          <w:b w:val="0"/>
          <w:bCs w:val="0"/>
          <w:sz w:val="28"/>
          <w:szCs w:val="36"/>
          <w:lang w:val="en-US" w:eastAsia="zh-CN"/>
        </w:rPr>
        <w:t>系统盘（一般为960 SSD*2，做RAID1）LVM全部空间挂载到” /</w:t>
      </w:r>
      <w:bookmarkStart w:id="0" w:name="_GoBack"/>
      <w:bookmarkEnd w:id="0"/>
      <w:r>
        <w:rPr>
          <w:rFonts w:hint="eastAsia"/>
          <w:b w:val="0"/>
          <w:bCs w:val="0"/>
          <w:sz w:val="28"/>
          <w:szCs w:val="36"/>
          <w:lang w:val="en-US" w:eastAsia="zh-CN"/>
        </w:rPr>
        <w:t xml:space="preserve"> “根目录下，文件系统格式xfs；数据盘（一般为2-4T SSD*2，做RAID1，若大于等于3块则做RAID5）后做LVM全部空间挂载到/var/lib/docker目录下，文件系统格式xfs，</w:t>
      </w:r>
      <w:r>
        <w:rPr>
          <w:rFonts w:hint="eastAsia"/>
          <w:b/>
          <w:bCs/>
          <w:color w:val="C00000"/>
          <w:sz w:val="28"/>
          <w:szCs w:val="36"/>
          <w:lang w:val="en-US" w:eastAsia="zh-CN"/>
        </w:rPr>
        <w:t>并且不分配swap分区</w:t>
      </w:r>
      <w:r>
        <w:rPr>
          <w:rFonts w:hint="eastAsia"/>
          <w:b w:val="0"/>
          <w:bCs w:val="0"/>
          <w:sz w:val="28"/>
          <w:szCs w:val="36"/>
          <w:lang w:val="en-US" w:eastAsia="zh-CN"/>
        </w:rPr>
        <w:t>，效果如下图所示</w:t>
      </w:r>
    </w:p>
    <w:p w14:paraId="41215263">
      <w:pPr>
        <w:numPr>
          <w:ilvl w:val="0"/>
          <w:numId w:val="0"/>
        </w:numPr>
        <w:ind w:leftChars="0"/>
        <w:jc w:val="both"/>
      </w:pPr>
      <w:r>
        <w:drawing>
          <wp:inline distT="0" distB="0" distL="114300" distR="114300">
            <wp:extent cx="4648835" cy="435864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48835" cy="4358640"/>
                    </a:xfrm>
                    <a:prstGeom prst="rect">
                      <a:avLst/>
                    </a:prstGeom>
                    <a:noFill/>
                    <a:ln>
                      <a:noFill/>
                    </a:ln>
                  </pic:spPr>
                </pic:pic>
              </a:graphicData>
            </a:graphic>
          </wp:inline>
        </w:drawing>
      </w:r>
    </w:p>
    <w:p w14:paraId="60EF8B3C">
      <w:pPr>
        <w:numPr>
          <w:ilvl w:val="0"/>
          <w:numId w:val="0"/>
        </w:numPr>
        <w:ind w:leftChars="0"/>
        <w:jc w:val="both"/>
      </w:pPr>
      <w:r>
        <w:drawing>
          <wp:inline distT="0" distB="0" distL="114300" distR="114300">
            <wp:extent cx="5274310" cy="1848485"/>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274310" cy="1848485"/>
                    </a:xfrm>
                    <a:prstGeom prst="rect">
                      <a:avLst/>
                    </a:prstGeom>
                    <a:noFill/>
                    <a:ln>
                      <a:noFill/>
                    </a:ln>
                  </pic:spPr>
                </pic:pic>
              </a:graphicData>
            </a:graphic>
          </wp:inline>
        </w:drawing>
      </w:r>
    </w:p>
    <w:p w14:paraId="7A362327">
      <w:pPr>
        <w:numPr>
          <w:ilvl w:val="0"/>
          <w:numId w:val="0"/>
        </w:numPr>
        <w:ind w:leftChars="0"/>
        <w:jc w:val="both"/>
      </w:pPr>
      <w:r>
        <w:drawing>
          <wp:inline distT="0" distB="0" distL="114300" distR="114300">
            <wp:extent cx="5267325" cy="440690"/>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325" cy="440690"/>
                    </a:xfrm>
                    <a:prstGeom prst="rect">
                      <a:avLst/>
                    </a:prstGeom>
                    <a:noFill/>
                    <a:ln>
                      <a:noFill/>
                    </a:ln>
                  </pic:spPr>
                </pic:pic>
              </a:graphicData>
            </a:graphic>
          </wp:inline>
        </w:drawing>
      </w:r>
    </w:p>
    <w:p w14:paraId="607B3CA6">
      <w:pPr>
        <w:numPr>
          <w:ilvl w:val="0"/>
          <w:numId w:val="0"/>
        </w:numPr>
        <w:ind w:leftChars="0"/>
        <w:jc w:val="both"/>
        <w:rPr>
          <w:rFonts w:hint="eastAsia"/>
          <w:lang w:val="en-US" w:eastAsia="zh-CN"/>
        </w:rPr>
      </w:pPr>
      <w:r>
        <w:drawing>
          <wp:inline distT="0" distB="0" distL="114300" distR="114300">
            <wp:extent cx="5269230" cy="531495"/>
            <wp:effectExtent l="0" t="0" r="952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230" cy="531495"/>
                    </a:xfrm>
                    <a:prstGeom prst="rect">
                      <a:avLst/>
                    </a:prstGeom>
                    <a:noFill/>
                    <a:ln>
                      <a:noFill/>
                    </a:ln>
                  </pic:spPr>
                </pic:pic>
              </a:graphicData>
            </a:graphic>
          </wp:inline>
        </w:drawing>
      </w:r>
    </w:p>
    <w:p w14:paraId="58B3B034">
      <w:pPr>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在网络规划后业务口网卡和存储连接网卡（一般为10-25G光纤卡）做Bond4模式上联，服务器配置好主机名和对应业务（网卡名称为bond0）和存储（网卡名称为bond1）的后的IP地址，通过ethtool命令可以看到线路聚合带卡*2，效果如下图所示</w:t>
      </w:r>
    </w:p>
    <w:p w14:paraId="2F211462">
      <w:pPr>
        <w:numPr>
          <w:ilvl w:val="0"/>
          <w:numId w:val="0"/>
        </w:numPr>
        <w:ind w:leftChars="0"/>
        <w:jc w:val="both"/>
        <w:rPr>
          <w:rFonts w:hint="default"/>
          <w:b w:val="0"/>
          <w:bCs w:val="0"/>
          <w:sz w:val="28"/>
          <w:szCs w:val="36"/>
          <w:lang w:val="en-US" w:eastAsia="zh-CN"/>
        </w:rPr>
      </w:pPr>
      <w:r>
        <w:drawing>
          <wp:inline distT="0" distB="0" distL="114300" distR="114300">
            <wp:extent cx="4408805" cy="344551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08805" cy="3445510"/>
                    </a:xfrm>
                    <a:prstGeom prst="rect">
                      <a:avLst/>
                    </a:prstGeom>
                    <a:noFill/>
                    <a:ln>
                      <a:noFill/>
                    </a:ln>
                  </pic:spPr>
                </pic:pic>
              </a:graphicData>
            </a:graphic>
          </wp:inline>
        </w:drawing>
      </w:r>
    </w:p>
    <w:p w14:paraId="29BA898B">
      <w:pPr>
        <w:numPr>
          <w:ilvl w:val="0"/>
          <w:numId w:val="0"/>
        </w:numPr>
        <w:ind w:leftChars="0"/>
        <w:jc w:val="both"/>
        <w:rPr>
          <w:rFonts w:hint="default"/>
          <w:b w:val="0"/>
          <w:bCs w:val="0"/>
          <w:sz w:val="28"/>
          <w:szCs w:val="36"/>
          <w:lang w:val="en-US" w:eastAsia="zh-CN"/>
        </w:rPr>
      </w:pPr>
    </w:p>
    <w:p w14:paraId="4BA9F73A">
      <w:pPr>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在网络规划后确保可以通过每台服务器分配的管理地址进入带外管理口，带外时间配置正确，若带外口可以访问公网则配置NTP服务</w:t>
      </w:r>
    </w:p>
    <w:p w14:paraId="3EEBEF2A">
      <w:pPr>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服务器若配置了GPU、NPU和IB卡在</w:t>
      </w:r>
      <w:r>
        <w:rPr>
          <w:rFonts w:hint="eastAsia"/>
          <w:b/>
          <w:bCs/>
          <w:color w:val="C00000"/>
          <w:sz w:val="28"/>
          <w:szCs w:val="36"/>
          <w:lang w:val="en-US" w:eastAsia="zh-CN"/>
        </w:rPr>
        <w:t>保持操作系统原版内核和内核套件的情况下（不升级内核）</w:t>
      </w:r>
      <w:r>
        <w:rPr>
          <w:rFonts w:hint="eastAsia"/>
          <w:b w:val="0"/>
          <w:bCs w:val="0"/>
          <w:sz w:val="28"/>
          <w:szCs w:val="36"/>
          <w:lang w:val="en-US" w:eastAsia="zh-CN"/>
        </w:rPr>
        <w:t>安装好官方最新版驱动和对应固件，若GPU卡使用SXM互联需要安装对应驱动版本的nvidia-fabricmanager</w:t>
      </w:r>
    </w:p>
    <w:p w14:paraId="71DE1E43">
      <w:pPr>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操作系统安装时，</w:t>
      </w:r>
      <w:r>
        <w:rPr>
          <w:rFonts w:hint="eastAsia"/>
          <w:b/>
          <w:bCs/>
          <w:color w:val="C00000"/>
          <w:sz w:val="28"/>
          <w:szCs w:val="36"/>
          <w:lang w:val="en-US" w:eastAsia="zh-CN"/>
        </w:rPr>
        <w:t>安装语言选择英语，时区设置为上海/亚洲</w:t>
      </w:r>
      <w:r>
        <w:rPr>
          <w:rFonts w:hint="eastAsia"/>
          <w:b w:val="0"/>
          <w:bCs w:val="0"/>
          <w:sz w:val="28"/>
          <w:szCs w:val="36"/>
          <w:lang w:val="en-US" w:eastAsia="zh-CN"/>
        </w:rPr>
        <w:t>，在最小化基础安装的标准上安装开发者套件，服务器配置root用户默认密码为Euler@323效果如下所示</w:t>
      </w:r>
    </w:p>
    <w:p w14:paraId="06916A9C">
      <w:pPr>
        <w:numPr>
          <w:ilvl w:val="0"/>
          <w:numId w:val="0"/>
        </w:numPr>
        <w:ind w:leftChars="0"/>
        <w:jc w:val="both"/>
        <w:rPr>
          <w:rFonts w:hint="default"/>
          <w:b w:val="0"/>
          <w:bCs w:val="0"/>
          <w:sz w:val="28"/>
          <w:szCs w:val="36"/>
          <w:lang w:val="en-US" w:eastAsia="zh-CN"/>
        </w:rPr>
      </w:pPr>
      <w:r>
        <w:rPr>
          <w:rFonts w:ascii="宋体" w:hAnsi="宋体" w:eastAsia="宋体" w:cs="宋体"/>
          <w:sz w:val="24"/>
          <w:szCs w:val="24"/>
        </w:rPr>
        <w:drawing>
          <wp:inline distT="0" distB="0" distL="114300" distR="114300">
            <wp:extent cx="2966085" cy="2417445"/>
            <wp:effectExtent l="0" t="0" r="2540" b="6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2966085" cy="2417445"/>
                    </a:xfrm>
                    <a:prstGeom prst="rect">
                      <a:avLst/>
                    </a:prstGeom>
                    <a:noFill/>
                    <a:ln w="9525">
                      <a:noFill/>
                    </a:ln>
                  </pic:spPr>
                </pic:pic>
              </a:graphicData>
            </a:graphic>
          </wp:inline>
        </w:drawing>
      </w:r>
    </w:p>
    <w:p w14:paraId="41EB2EAD">
      <w:pPr>
        <w:numPr>
          <w:ilvl w:val="0"/>
          <w:numId w:val="0"/>
        </w:numPr>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2947670" cy="2113280"/>
            <wp:effectExtent l="0" t="0" r="10160" b="254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2947670" cy="2113280"/>
                    </a:xfrm>
                    <a:prstGeom prst="rect">
                      <a:avLst/>
                    </a:prstGeom>
                    <a:noFill/>
                    <a:ln w="9525">
                      <a:noFill/>
                    </a:ln>
                  </pic:spPr>
                </pic:pic>
              </a:graphicData>
            </a:graphic>
          </wp:inline>
        </w:drawing>
      </w:r>
    </w:p>
    <w:p w14:paraId="09550142">
      <w:pPr>
        <w:numPr>
          <w:ilvl w:val="0"/>
          <w:numId w:val="0"/>
        </w:numPr>
        <w:ind w:leftChars="0"/>
        <w:jc w:val="both"/>
        <w:rPr>
          <w:rFonts w:ascii="宋体" w:hAnsi="宋体" w:eastAsia="宋体" w:cs="宋体"/>
          <w:sz w:val="24"/>
          <w:szCs w:val="24"/>
        </w:rPr>
      </w:pPr>
    </w:p>
    <w:p w14:paraId="2F33F86F">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6、显卡驱动 560.35.03  ，cuda版本12.6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FB4B2"/>
    <w:multiLevelType w:val="singleLevel"/>
    <w:tmpl w:val="8B6FB4B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3MzcwMGYyNTI5ZjhlOTE5ODU3M2ZmZTBlNWJiODMifQ=="/>
  </w:docVars>
  <w:rsids>
    <w:rsidRoot w:val="00000000"/>
    <w:rsid w:val="02F766AD"/>
    <w:rsid w:val="1B073464"/>
    <w:rsid w:val="2604539D"/>
    <w:rsid w:val="31271F3F"/>
    <w:rsid w:val="4CD34FFD"/>
    <w:rsid w:val="4DCB3F26"/>
    <w:rsid w:val="5E761C8C"/>
    <w:rsid w:val="674D37A6"/>
    <w:rsid w:val="7004200E"/>
    <w:rsid w:val="752E26DB"/>
    <w:rsid w:val="78C57641"/>
    <w:rsid w:val="7FD9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426</Words>
  <Characters>646</Characters>
  <Lines>0</Lines>
  <Paragraphs>0</Paragraphs>
  <TotalTime>14</TotalTime>
  <ScaleCrop>false</ScaleCrop>
  <LinksUpToDate>false</LinksUpToDate>
  <CharactersWithSpaces>650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2024-05-14T05:36:00Z</dcterms:created>
  <dc:creator>42109</dc:creator>
  <cp:lastModifiedBy>lomo</cp:lastModifiedBy>
  <dcterms:modified xsi:type="dcterms:W3CDTF">2025-03-07T01:43:56Z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247714F97FD04A70A815A86DBF1776E1_13</vt:lpwstr>
  </property>
  <property fmtid="{D5CDD505-2E9C-101B-9397-08002B2CF9AE}" pid="4" name="KSOTemplateDocerSaveRecord">
    <vt:lpwstr>eyJoZGlkIjoiYjVlZTI3ODg2Zjc2MjhkNGRhMzk1MTdiMjc4OWMzYWYiLCJ1c2VySWQiOiIyNjkwNDk2NDYifQ==</vt:lpwstr>
  </property>
</Properties>
</file>