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5.png" ContentType="image/png"/>
  <Override PartName="/word/media/rId71.png" ContentType="image/png"/>
  <Override PartName="/word/media/rId76.png" ContentType="image/png"/>
  <Override PartName="/word/media/rId81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Бердыев</w:t>
      </w:r>
      <w:r>
        <w:t xml:space="preserve"> </w:t>
      </w:r>
      <w:r>
        <w:t xml:space="preserve">Даянч</w:t>
      </w:r>
      <w:r>
        <w:t xml:space="preserve"> </w:t>
      </w:r>
      <w:r>
        <w:t xml:space="preserve">НММбд-04-23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Создаю каталог для работы с программами на языке ассемблера NASM.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08640"/>
            <wp:effectExtent b="0" l="0" r="0" t="0"/>
            <wp:docPr descr="Figure 1: Создание каталога с помощью команд mkdir -p ~/work/arch-pc/lab04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с помощью команд mkdir -p ~/work/arch-pc/lab04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созданный каталог.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1208640"/>
            <wp:effectExtent b="0" l="0" r="0" t="0"/>
            <wp:docPr descr="Figure 2: Переход в созданный каталог с помощью команд cd ~/work/arch-pc/lab04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Переход в созданный каталог с помощью команд cd ~/work/arch-pc/lab04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Создаю текстовый файл с именем hello.asm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1208640"/>
            <wp:effectExtent b="0" l="0" r="0" t="0"/>
            <wp:docPr descr="Figure 3: Создание текстового файла с помощью команд touch hello.asm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текстового файла с помощью команд touch hello.asm</w:t>
      </w:r>
    </w:p>
    <w:bookmarkEnd w:id="0"/>
    <w:bookmarkEnd w:id="35"/>
    <w:bookmarkStart w:id="44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Открываю этот файл с помощью текстового редактора gedit.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1718822"/>
            <wp:effectExtent b="0" l="0" r="0" t="0"/>
            <wp:docPr descr="Figure 4: Открытие текстового редактора gedit с помощью команды gedit hello.asm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Открытие текстового редактора gedit с помощью команды gedit hello.asm</w:t>
      </w:r>
    </w:p>
    <w:bookmarkEnd w:id="0"/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2381541"/>
            <wp:effectExtent b="0" l="0" r="0" t="0"/>
            <wp:docPr descr="Figure 5: И ввожу в него следующий текст.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И ввожу в него следующий текст.</w:t>
      </w:r>
    </w:p>
    <w:bookmarkEnd w:id="0"/>
    <w:bookmarkEnd w:id="44"/>
    <w:bookmarkStart w:id="49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NASM превращает текст программы в объектный код.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1718822"/>
            <wp:effectExtent b="0" l="0" r="0" t="0"/>
            <wp:docPr descr="Figure 6: Ввожу команду nasm -f elf hello.asm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Ввожу команду nasm -f elf hello.asm</w:t>
      </w:r>
    </w:p>
    <w:bookmarkEnd w:id="0"/>
    <w:bookmarkEnd w:id="49"/>
    <w:bookmarkStart w:id="54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741306"/>
            <wp:effectExtent b="0" l="0" r="0" t="0"/>
            <wp:docPr descr="Figure 7: Расширенный синтаксис командной строки NASM.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Расширенный синтаксис командной строки NASM.</w:t>
      </w:r>
    </w:p>
    <w:bookmarkEnd w:id="0"/>
    <w:bookmarkEnd w:id="54"/>
    <w:bookmarkStart w:id="59" w:name="section-6"/>
    <w:p>
      <w:pPr>
        <w:pStyle w:val="Heading3"/>
      </w:pPr>
      <w:r>
        <w:rPr>
          <w:rStyle w:val="SectionNumber"/>
        </w:rPr>
        <w:t xml:space="preserve">2.0.7</w:t>
      </w:r>
      <w:r>
        <w:tab/>
      </w:r>
      <w:r>
        <w:t xml:space="preserve">7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компоновщику:</w:t>
      </w:r>
    </w:p>
    <w:bookmarkStart w:id="0" w:name="fig:001"/>
    <w:p>
      <w:pPr>
        <w:pStyle w:val="CaptionedFigure"/>
      </w:pPr>
      <w:bookmarkStart w:id="58" w:name="fig:001"/>
      <w:r>
        <w:drawing>
          <wp:inline>
            <wp:extent cx="5334000" cy="741306"/>
            <wp:effectExtent b="0" l="0" r="0" t="0"/>
            <wp:docPr descr="Figure 8: Компоновщик LD.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Компоновщик LD.</w:t>
      </w:r>
    </w:p>
    <w:bookmarkEnd w:id="0"/>
    <w:bookmarkEnd w:id="59"/>
    <w:bookmarkStart w:id="64" w:name="section-7"/>
    <w:p>
      <w:pPr>
        <w:pStyle w:val="Heading3"/>
      </w:pPr>
      <w:r>
        <w:rPr>
          <w:rStyle w:val="SectionNumber"/>
        </w:rPr>
        <w:t xml:space="preserve">2.0.8</w:t>
      </w:r>
      <w:r>
        <w:tab/>
      </w:r>
      <w:r>
        <w:t xml:space="preserve">8</w:t>
      </w:r>
    </w:p>
    <w:p>
      <w:pPr>
        <w:pStyle w:val="FirstParagraph"/>
      </w:pPr>
      <w:r>
        <w:t xml:space="preserve">Ключ -o с последующим значением задаёт в данном случае имя создаваемого исполняемого файла.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741306"/>
            <wp:effectExtent b="0" l="0" r="0" t="0"/>
            <wp:docPr descr="Figure 9: Ввожу команду ld -m elf_i386 obj.o -o main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Ввожу команду ld -m elf_i386 obj.o -o main</w:t>
      </w:r>
    </w:p>
    <w:bookmarkEnd w:id="0"/>
    <w:bookmarkEnd w:id="64"/>
    <w:bookmarkStart w:id="69" w:name="section-8"/>
    <w:p>
      <w:pPr>
        <w:pStyle w:val="Heading3"/>
      </w:pPr>
      <w:r>
        <w:rPr>
          <w:rStyle w:val="SectionNumber"/>
        </w:rPr>
        <w:t xml:space="preserve">2.0.9</w:t>
      </w:r>
      <w:r>
        <w:tab/>
      </w:r>
      <w:r>
        <w:t xml:space="preserve">9</w:t>
      </w:r>
    </w:p>
    <w:p>
      <w:pPr>
        <w:pStyle w:val="FirstParagraph"/>
      </w:pPr>
      <w:r>
        <w:t xml:space="preserve">Запуск исполняемого файла.</w:t>
      </w:r>
    </w:p>
    <w:bookmarkStart w:id="0" w:name="fig:001"/>
    <w:p>
      <w:pPr>
        <w:pStyle w:val="CaptionedFigure"/>
      </w:pPr>
      <w:bookmarkStart w:id="68" w:name="fig:001"/>
      <w:r>
        <w:drawing>
          <wp:inline>
            <wp:extent cx="5334000" cy="741306"/>
            <wp:effectExtent b="0" l="0" r="0" t="0"/>
            <wp:docPr descr="Figure 10: Ввожу команду ./hello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10: Ввожу команду ./hello</w:t>
      </w:r>
    </w:p>
    <w:bookmarkEnd w:id="0"/>
    <w:bookmarkEnd w:id="69"/>
    <w:bookmarkEnd w:id="70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75" w:name="section-9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В каталоге ~/work/arch-pc/lab04 с помощью команды cp</w:t>
      </w:r>
    </w:p>
    <w:bookmarkStart w:id="0" w:name="fig:001"/>
    <w:p>
      <w:pPr>
        <w:pStyle w:val="CaptionedFigure"/>
      </w:pPr>
      <w:bookmarkStart w:id="74" w:name="fig:001"/>
      <w:r>
        <w:drawing>
          <wp:inline>
            <wp:extent cx="5334000" cy="717389"/>
            <wp:effectExtent b="0" l="0" r="0" t="0"/>
            <wp:docPr descr="Figure 11: Создаю копию файла hello.asm с именем lab04.asm" title="" id="72" name="Picture"/>
            <a:graphic>
              <a:graphicData uri="http://schemas.openxmlformats.org/drawingml/2006/picture">
                <pic:pic>
                  <pic:nvPicPr>
                    <pic:cNvPr descr="image/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11: Создаю копию файла hello.asm с именем lab04.asm</w:t>
      </w:r>
    </w:p>
    <w:bookmarkEnd w:id="0"/>
    <w:bookmarkEnd w:id="75"/>
    <w:bookmarkStart w:id="80" w:name="section-10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С помощью текстового редактора gedit ввожу изменения в тексте программы в файле lab04.asm вместо Hello world! ввожу Бердыев Даянч.</w:t>
      </w:r>
    </w:p>
    <w:bookmarkStart w:id="0" w:name="fig:001"/>
    <w:p>
      <w:pPr>
        <w:pStyle w:val="CaptionedFigure"/>
      </w:pPr>
      <w:bookmarkStart w:id="79" w:name="fig:001"/>
      <w:r>
        <w:drawing>
          <wp:inline>
            <wp:extent cx="5334000" cy="2364556"/>
            <wp:effectExtent b="0" l="0" r="0" t="0"/>
            <wp:docPr descr="Figure 12: Ввожу свое имя фамилию." title="" id="77" name="Picture"/>
            <a:graphic>
              <a:graphicData uri="http://schemas.openxmlformats.org/drawingml/2006/picture">
                <pic:pic>
                  <pic:nvPicPr>
                    <pic:cNvPr descr="image/1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12: Ввожу свое имя фамилию.</w:t>
      </w:r>
    </w:p>
    <w:bookmarkEnd w:id="0"/>
    <w:bookmarkEnd w:id="80"/>
    <w:bookmarkStart w:id="85" w:name="section-11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Оттранслирую полученный текст программы lab04.asm в объектный файл. Выполняю</w:t>
      </w:r>
      <w:r>
        <w:t xml:space="preserve"> </w:t>
      </w:r>
      <w:r>
        <w:t xml:space="preserve">компоновку объектного файла.</w:t>
      </w:r>
    </w:p>
    <w:bookmarkStart w:id="0" w:name="fig:001"/>
    <w:p>
      <w:pPr>
        <w:pStyle w:val="CaptionedFigure"/>
      </w:pPr>
      <w:bookmarkStart w:id="84" w:name="fig:001"/>
      <w:r>
        <w:drawing>
          <wp:inline>
            <wp:extent cx="5334000" cy="1389731"/>
            <wp:effectExtent b="0" l="0" r="0" t="0"/>
            <wp:docPr descr="Figure 13: Запускаю получившийся исполняемый файл." title="" id="82" name="Picture"/>
            <a:graphic>
              <a:graphicData uri="http://schemas.openxmlformats.org/drawingml/2006/picture">
                <pic:pic>
                  <pic:nvPicPr>
                    <pic:cNvPr descr="image/1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13: Запускаю получившийся исполняемый файл.</w:t>
      </w:r>
    </w:p>
    <w:bookmarkEnd w:id="0"/>
    <w:bookmarkEnd w:id="85"/>
    <w:bookmarkStart w:id="98" w:name="section-12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Копирую файлы hello.asm и lab04.asm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</w:p>
    <w:bookmarkStart w:id="0" w:name="fig:001"/>
    <w:p>
      <w:pPr>
        <w:pStyle w:val="CaptionedFigure"/>
      </w:pPr>
      <w:bookmarkStart w:id="89" w:name="fig:001"/>
      <w:r>
        <w:drawing>
          <wp:inline>
            <wp:extent cx="5334000" cy="1389731"/>
            <wp:effectExtent b="0" l="0" r="0" t="0"/>
            <wp:docPr descr="Figure 14: Копирую файлы hello.asm и lab4.asm с помошью команды cp hello.asm lab04.asm ~/work/study/2023-2024/“Архитектура компьютера”/arch-pc/labs/lab04/" title="" id="87" name="Picture"/>
            <a:graphic>
              <a:graphicData uri="http://schemas.openxmlformats.org/drawingml/2006/picture">
                <pic:pic>
                  <pic:nvPicPr>
                    <pic:cNvPr descr="image/1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14: Копирую файлы hello.asm и lab4.asm с помошью команды cp hello.asm lab04.asm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</w:t>
      </w:r>
    </w:p>
    <w:bookmarkEnd w:id="0"/>
    <w:bookmarkStart w:id="0" w:name="fig:001"/>
    <w:p>
      <w:pPr>
        <w:pStyle w:val="CaptionedFigure"/>
      </w:pPr>
      <w:bookmarkStart w:id="93" w:name="fig:001"/>
      <w:r>
        <w:drawing>
          <wp:inline>
            <wp:extent cx="5334000" cy="2905894"/>
            <wp:effectExtent b="0" l="0" r="0" t="0"/>
            <wp:docPr descr="Figure 15: Проверяю." title="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15: Проверяю.</w:t>
      </w:r>
    </w:p>
    <w:bookmarkEnd w:id="0"/>
    <w:bookmarkStart w:id="0" w:name="fig:001"/>
    <w:p>
      <w:pPr>
        <w:pStyle w:val="CaptionedFigure"/>
      </w:pPr>
      <w:bookmarkStart w:id="97" w:name="fig:001"/>
      <w:r>
        <w:drawing>
          <wp:inline>
            <wp:extent cx="5334000" cy="2905894"/>
            <wp:effectExtent b="0" l="0" r="0" t="0"/>
            <wp:docPr descr="Figure 16: Загржаю файлы на Github." title="" id="95" name="Picture"/>
            <a:graphic>
              <a:graphicData uri="http://schemas.openxmlformats.org/drawingml/2006/picture">
                <pic:pic>
                  <pic:nvPicPr>
                    <pic:cNvPr descr="image/1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16: Загржаю файлы на Github.</w:t>
      </w:r>
    </w:p>
    <w:bookmarkEnd w:id="0"/>
    <w:bookmarkEnd w:id="98"/>
    <w:bookmarkEnd w:id="99"/>
    <w:bookmarkStart w:id="100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Основное отличие ассемблера от языков высокого уровня — Байт-код или байтко́д (англ. byte-code), иногда также используется термин псевдоко́д — машинно-независимый код низкого уровня, генерируемый транслятором и исполняемый интерпретатором. Большинство инструкций байт-кода эквивалентны одной или нескольким командам ассемблера. Трансляция в байт-код занимает промежуточное положение между компиляцией в машинный код и интерпретацией.</w:t>
      </w:r>
    </w:p>
    <w:p>
      <w:pPr>
        <w:numPr>
          <w:ilvl w:val="0"/>
          <w:numId w:val="1001"/>
        </w:numPr>
      </w:pPr>
      <w:r>
        <w:t xml:space="preserve">Инструкция ассемблера генерирует машинный код, таким образом, способствует размеру программы. Директива ассемблера не создает какого -либо машинного кода, таким образом, не способствует размеру программы. IT приказывает ассемблеру выполнять определенные действия на этапе сборки.</w:t>
      </w:r>
    </w:p>
    <w:p>
      <w:pPr>
        <w:numPr>
          <w:ilvl w:val="0"/>
          <w:numId w:val="1001"/>
        </w:numPr>
      </w:pPr>
      <w:r>
        <w:t xml:space="preserve">Правила написания программ на языке assembler</w:t>
      </w:r>
      <w:r>
        <w:t xml:space="preserve"> </w:t>
      </w:r>
      <w:r>
        <w:t xml:space="preserve">Исходный текст программы на языке ассемблера имеет определенный формат. Каждая команда и директива представляет собой строку: Метка, операция,операнд(ы), комментарии.</w:t>
      </w:r>
    </w:p>
    <w:p>
      <w:pPr>
        <w:numPr>
          <w:ilvl w:val="0"/>
          <w:numId w:val="1001"/>
        </w:numPr>
      </w:pPr>
      <w:r>
        <w:t xml:space="preserve">Создание исполняемого файла издавна производилось в три этапа: (1) обработка исходного кода препроцессором, (2) компиляция в объектный код и (3) компоновка объектных модулей, включая модули из объектных библиотек, в исполняемый файл. Это классическая схема для компилируемых языков.</w:t>
      </w:r>
    </w:p>
    <w:p>
      <w:pPr>
        <w:numPr>
          <w:ilvl w:val="0"/>
          <w:numId w:val="1001"/>
        </w:numPr>
      </w:pPr>
      <w:r>
        <w:t xml:space="preserve">На этапе трансляции осуществляется перевод команд ассемблера в соответствующие машинные команды. В результате трансляции формируются файл объектного модуля и файл листинга.</w:t>
      </w:r>
    </w:p>
    <w:p>
      <w:pPr>
        <w:numPr>
          <w:ilvl w:val="0"/>
          <w:numId w:val="1001"/>
        </w:numPr>
      </w:pPr>
      <w:r>
        <w:t xml:space="preserve">Если в процессе ассемблирования не было выявлено ошибок в ассемблерном листинге, то программа-ассемблер создаcт объектный файл (с расширением OBJ).</w:t>
      </w:r>
    </w:p>
    <w:p>
      <w:pPr>
        <w:pStyle w:val="FirstParagraph"/>
      </w:pPr>
      <w:r>
        <w:t xml:space="preserve">Затем необходимо воспользоваться компоновщиком (линковщиком), который входит в комплект программы-ассемблера. Данная процедура выполняется гораздо быстрее ассемблирования.</w:t>
      </w:r>
    </w:p>
    <w:p>
      <w:pPr>
        <w:pStyle w:val="BodyText"/>
      </w:pPr>
      <w:r>
        <w:t xml:space="preserve">Именно компоновщик создает готовый к запуску файл (программу) с расширением COM или EXE из объектного файла (OBJ). Оба типа имеют отличия в структуре ассемблерной программы. Первый тип (COM) не может превышать 64 Кбайт и используется только в MS-DOS (и для совместимости поддерживается в Windows), однако он очень компактный и удобный для написания небольших программ и резидентов. В большинстве случаев, если программа написана на чистом ассемблере под MS-DOS, нет необходимости создавать EXE-файлы. В этой книге в части I рассматриваются именно программы типа COM.</w:t>
      </w:r>
    </w:p>
    <w:p>
      <w:pPr>
        <w:pStyle w:val="BodyText"/>
      </w:pPr>
      <w:r>
        <w:t xml:space="preserve">В отличие от создания программ типа COM, при создании стандартных EXEпрограмм под MS-DOS нет необходимости указывать какие-либо параметры линковщику при компоновке. Дело в том, что компоновщик не может автоматически определить, какой тип подвергается компоновке.</w:t>
      </w:r>
    </w:p>
    <w:p>
      <w:pPr>
        <w:pStyle w:val="BodyText"/>
      </w:pPr>
      <w:r>
        <w:t xml:space="preserve">Линковщик также проверяет, нет ли каких-либо ошибок в объектном файле, но не грамматических, а логических. Например, отсутствие необходимой объектной библиотеки, указанной в самом файле либо в командной строке (программаассемблер этого не делает).</w:t>
      </w:r>
    </w:p>
    <w:p>
      <w:pPr>
        <w:pStyle w:val="BodyText"/>
      </w:pPr>
      <w:r>
        <w:t xml:space="preserve">Если ошибки не были обнаружены, компоновщик создает машинный код (программу типа COM или EXE), которую можно запускать на выполнение.</w:t>
      </w:r>
    </w:p>
    <w:p>
      <w:pPr>
        <w:numPr>
          <w:ilvl w:val="0"/>
          <w:numId w:val="1002"/>
        </w:numPr>
        <w:pStyle w:val="Compact"/>
      </w:pPr>
      <w:r>
        <w:t xml:space="preserve">Для того чтобы выполнить пробный прогон ассемблерной программы, ее необходимо сначала оттранслировать и скомпоновать. Пусть текст исходной программы хранится в файле с именем SIMPLE.ASM. Трансляцию можно осуществить вызовом турбо ассемблера TASM.EXE с помощью, например, следующей команды DOS:</w:t>
      </w:r>
    </w:p>
    <w:p>
      <w:pPr>
        <w:pStyle w:val="FirstParagraph"/>
      </w:pPr>
      <w:r>
        <w:t xml:space="preserve">tasm /l/z/zi/n simple.asm</w:t>
      </w:r>
    </w:p>
    <w:p>
      <w:pPr>
        <w:numPr>
          <w:ilvl w:val="0"/>
          <w:numId w:val="1003"/>
        </w:numPr>
        <w:pStyle w:val="Compact"/>
      </w:pPr>
      <w:r>
        <w:t xml:space="preserve">NASM поддерживает множество форматов выходных файлов, среди них:</w:t>
      </w:r>
    </w:p>
    <w:p>
      <w:pPr>
        <w:pStyle w:val="FirstParagraph"/>
      </w:pPr>
      <w:r>
        <w:t xml:space="preserve">bin — файл произвольного формата, определяемого только исходным кодом. Пригоден как для файлов данных, так и для модулей с исполняемыми кодами — например, системных загрузчиков, образов ПЗУ, модулей операционных систем, драйверов .SYS в MS-DOS или исполняемых файлов .COM.</w:t>
      </w:r>
      <w:r>
        <w:t xml:space="preserve"> </w:t>
      </w:r>
      <w:r>
        <w:t xml:space="preserve">obj — объектный модуль в формате OMF, совместимый с MASM и TASM.</w:t>
      </w:r>
      <w:r>
        <w:t xml:space="preserve"> </w:t>
      </w:r>
      <w:r>
        <w:t xml:space="preserve">win32 и win64 — объектный модуль для 32- и 64-битного кода, совместимый с Win32- и Win64-компиляторами Microsoft.</w:t>
      </w:r>
      <w:r>
        <w:t xml:space="preserve"> </w:t>
      </w:r>
      <w:r>
        <w:t xml:space="preserve">aout — объектный модуль в варианте формата a.out, использовавшегося в ранних Linux-системах.</w:t>
      </w:r>
      <w:r>
        <w:t xml:space="preserve"> </w:t>
      </w:r>
      <w:r>
        <w:t xml:space="preserve">aoutb — версия формата a.out для BSD-совместимых операционных систем.</w:t>
      </w:r>
      <w:r>
        <w:t xml:space="preserve"> </w:t>
      </w:r>
      <w:r>
        <w:t xml:space="preserve">coff — объектный модуль в формате COFF, совместимом с компоновщиком из DJGPP.</w:t>
      </w:r>
      <w:r>
        <w:t xml:space="preserve"> </w:t>
      </w:r>
      <w:r>
        <w:t xml:space="preserve">elf32 и elf64 — объектный модуль в форматах ELF32 и ELF64, используемых в Linux и Unix System V, включая Solaris x86, UnixWare и SCO Unix.</w:t>
      </w:r>
      <w:r>
        <w:t xml:space="preserve"> </w:t>
      </w:r>
      <w:r>
        <w:t xml:space="preserve">Формат выходного файла можно задать с помощью ключа командной строки -f. Форматы могут расширять синтаксис некоторых инструкций и добавлять собственные инструкции.</w:t>
      </w:r>
    </w:p>
    <w:bookmarkEnd w:id="100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я освоил процедуру компиляции и сборки программ, написанных на ассемблере NASM.</w:t>
      </w:r>
    </w:p>
    <w:bookmarkStart w:id="101" w:name="refs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Бердыев Даянч НММбд-04-23</dc:creator>
  <dc:language>ru-RU</dc:language>
  <cp:keywords/>
  <dcterms:created xsi:type="dcterms:W3CDTF">2023-10-16T02:39:38Z</dcterms:created>
  <dcterms:modified xsi:type="dcterms:W3CDTF">2023-10-16T02:39:38Z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