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54F9B5">
      <w:pPr>
        <w:spacing w:before="380" w:after="140" w:line="288" w:lineRule="auto"/>
        <w:ind w:left="0" w:firstLine="1081" w:firstLineChars="30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新就业形态劳动者安全警示服务小程序</w:t>
      </w:r>
      <w:bookmarkEnd w:id="0"/>
    </w:p>
    <w:p w14:paraId="061568E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230017F">
      <w:pPr>
        <w:spacing w:before="320" w:after="120" w:line="288" w:lineRule="auto"/>
        <w:ind w:left="0"/>
        <w:jc w:val="left"/>
        <w:outlineLvl w:val="1"/>
      </w:pPr>
      <w:bookmarkStart w:id="1" w:name="heading_2"/>
      <w:r>
        <w:rPr>
          <w:rFonts w:ascii="Arial" w:hAnsi="Arial" w:eastAsia="等线" w:cs="Arial"/>
          <w:b/>
          <w:sz w:val="32"/>
        </w:rPr>
        <w:t>一、项目概况</w:t>
      </w:r>
      <w:bookmarkEnd w:id="1"/>
    </w:p>
    <w:p w14:paraId="11E3B647">
      <w:pPr>
        <w:spacing w:before="300" w:after="120" w:line="288" w:lineRule="auto"/>
        <w:ind w:left="0"/>
        <w:jc w:val="left"/>
        <w:outlineLvl w:val="2"/>
      </w:pPr>
      <w:bookmarkStart w:id="2" w:name="heading_3"/>
      <w:r>
        <w:rPr>
          <w:rFonts w:ascii="Arial" w:hAnsi="Arial" w:eastAsia="等线" w:cs="Arial"/>
          <w:b/>
          <w:sz w:val="30"/>
        </w:rPr>
        <w:t>1.1 项目背景</w:t>
      </w:r>
      <w:bookmarkEnd w:id="2"/>
    </w:p>
    <w:p w14:paraId="7F5B6B0D"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当前新就业形态劳动者（外卖骑手、众包骑手等）保障体系以事后经济补偿、工伤托底为主，缺少事前安全预防、警示教育环节，未形成完整安全闭环。为降低事故发生率，强化安全意识，通过“线下教育点位+线上小程序”模式，实现可核验、可追溯、可量化的</w:t>
      </w:r>
      <w:r>
        <w:rPr>
          <w:rFonts w:hint="eastAsia" w:ascii="Arial" w:hAnsi="Arial" w:eastAsia="等线" w:cs="Arial"/>
          <w:sz w:val="22"/>
          <w:lang w:val="en-US" w:eastAsia="zh-CN"/>
        </w:rPr>
        <w:t>新职伤</w:t>
      </w:r>
      <w:r>
        <w:rPr>
          <w:rFonts w:ascii="Arial" w:hAnsi="Arial" w:eastAsia="等线" w:cs="Arial"/>
          <w:sz w:val="22"/>
        </w:rPr>
        <w:t>预防教育服务。</w:t>
      </w:r>
    </w:p>
    <w:p w14:paraId="49E6A84C">
      <w:pPr>
        <w:spacing w:before="300" w:after="120" w:line="288" w:lineRule="auto"/>
        <w:ind w:left="0"/>
        <w:jc w:val="left"/>
        <w:outlineLvl w:val="2"/>
      </w:pPr>
      <w:bookmarkStart w:id="3" w:name="heading_4"/>
      <w:r>
        <w:rPr>
          <w:rFonts w:ascii="Arial" w:hAnsi="Arial" w:eastAsia="等线" w:cs="Arial"/>
          <w:b/>
          <w:sz w:val="30"/>
        </w:rPr>
        <w:t>1.2 项目定位</w:t>
      </w:r>
      <w:bookmarkEnd w:id="3"/>
    </w:p>
    <w:p w14:paraId="521B0AA7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 xml:space="preserve">1. </w:t>
      </w:r>
      <w:r>
        <w:rPr>
          <w:rFonts w:ascii="Arial" w:hAnsi="Arial" w:eastAsia="等线" w:cs="Arial"/>
          <w:sz w:val="22"/>
        </w:rPr>
        <w:t>载体：微信小程序（不开发独立APP）</w:t>
      </w:r>
    </w:p>
    <w:p w14:paraId="5BCA65AD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b w:val="0"/>
          <w:bCs w:val="0"/>
          <w:sz w:val="22"/>
          <w:highlight w:val="none"/>
          <w:lang w:val="en-US" w:eastAsia="zh-CN"/>
        </w:rPr>
      </w:pPr>
      <w:r>
        <w:rPr>
          <w:rFonts w:hint="eastAsia" w:ascii="Arial" w:hAnsi="Arial" w:eastAsia="等线" w:cs="Arial"/>
          <w:sz w:val="22"/>
          <w:highlight w:val="none"/>
          <w:lang w:val="en-US" w:eastAsia="zh-CN"/>
        </w:rPr>
        <w:t xml:space="preserve">2.  </w:t>
      </w:r>
      <w:r>
        <w:rPr>
          <w:rFonts w:hint="eastAsia" w:ascii="Arial" w:hAnsi="Arial" w:eastAsia="等线" w:cs="Arial"/>
          <w:b/>
          <w:bCs/>
          <w:sz w:val="22"/>
          <w:highlight w:val="none"/>
          <w:lang w:val="en-US" w:eastAsia="zh-CN"/>
        </w:rPr>
        <w:t>一期开发：</w:t>
      </w:r>
      <w:r>
        <w:rPr>
          <w:rFonts w:hint="eastAsia" w:ascii="Arial" w:hAnsi="Arial" w:eastAsia="等线" w:cs="Arial"/>
          <w:b w:val="0"/>
          <w:bCs w:val="0"/>
          <w:sz w:val="22"/>
          <w:highlight w:val="none"/>
          <w:lang w:val="en-US" w:eastAsia="zh-CN"/>
        </w:rPr>
        <w:t>主要针对11个外卖平台的济南人群，共35万人左右。事实是，不会同时打卡，也不会都来打卡，目前无法预估参与活动的人群数量。</w:t>
      </w:r>
    </w:p>
    <w:p w14:paraId="537CFD05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3. 二期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覆盖到四个地市，人数无法预估</w:t>
      </w:r>
    </w:p>
    <w:p w14:paraId="2C5D87AA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b w:val="0"/>
          <w:bCs w:val="0"/>
          <w:color w:val="auto"/>
          <w:sz w:val="22"/>
          <w:highlight w:val="none"/>
          <w:lang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4. 三期：有可能覆盖全省15地市11个平台</w:t>
      </w:r>
      <w:r>
        <w:rPr>
          <w:rFonts w:hint="eastAsia" w:ascii="Arial" w:hAnsi="Arial" w:eastAsia="等线" w:cs="Arial"/>
          <w:b w:val="0"/>
          <w:bCs w:val="0"/>
          <w:sz w:val="22"/>
          <w:highlight w:val="none"/>
          <w:lang w:val="en-US" w:eastAsia="zh-CN"/>
        </w:rPr>
        <w:t>，</w:t>
      </w:r>
      <w:r>
        <w:rPr>
          <w:rFonts w:ascii="Arial" w:hAnsi="Arial" w:eastAsia="等线" w:cs="Arial"/>
          <w:b w:val="0"/>
          <w:bCs w:val="0"/>
          <w:color w:val="auto"/>
          <w:sz w:val="22"/>
          <w:highlight w:val="none"/>
        </w:rPr>
        <w:t>约</w:t>
      </w:r>
      <w:r>
        <w:rPr>
          <w:rFonts w:hint="eastAsia" w:ascii="Arial" w:hAnsi="Arial" w:eastAsia="等线" w:cs="Arial"/>
          <w:b w:val="0"/>
          <w:bCs w:val="0"/>
          <w:color w:val="auto"/>
          <w:sz w:val="22"/>
          <w:highlight w:val="none"/>
          <w:lang w:val="en-US" w:eastAsia="zh-CN"/>
        </w:rPr>
        <w:t>150</w:t>
      </w:r>
      <w:r>
        <w:rPr>
          <w:rFonts w:ascii="Arial" w:hAnsi="Arial" w:eastAsia="等线" w:cs="Arial"/>
          <w:b w:val="0"/>
          <w:bCs w:val="0"/>
          <w:color w:val="auto"/>
          <w:sz w:val="22"/>
          <w:highlight w:val="none"/>
        </w:rPr>
        <w:t>万</w:t>
      </w:r>
      <w:r>
        <w:rPr>
          <w:rFonts w:hint="eastAsia" w:ascii="Arial" w:hAnsi="Arial" w:eastAsia="等线" w:cs="Arial"/>
          <w:b w:val="0"/>
          <w:bCs w:val="0"/>
          <w:color w:val="auto"/>
          <w:sz w:val="22"/>
          <w:highlight w:val="none"/>
          <w:lang w:val="en-US" w:eastAsia="zh-CN"/>
        </w:rPr>
        <w:t>+</w:t>
      </w:r>
      <w:r>
        <w:rPr>
          <w:rFonts w:ascii="Arial" w:hAnsi="Arial" w:eastAsia="等线" w:cs="Arial"/>
          <w:b w:val="0"/>
          <w:bCs w:val="0"/>
          <w:color w:val="auto"/>
          <w:sz w:val="22"/>
          <w:highlight w:val="none"/>
        </w:rPr>
        <w:t>新就业形态劳动者</w:t>
      </w:r>
      <w:r>
        <w:rPr>
          <w:rFonts w:hint="eastAsia" w:ascii="Arial" w:hAnsi="Arial" w:eastAsia="等线" w:cs="Arial"/>
          <w:b w:val="0"/>
          <w:bCs w:val="0"/>
          <w:color w:val="auto"/>
          <w:sz w:val="22"/>
          <w:highlight w:val="none"/>
          <w:lang w:eastAsia="zh-CN"/>
        </w:rPr>
        <w:t>。</w:t>
      </w:r>
    </w:p>
    <w:p w14:paraId="5865EE81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Arial" w:hAnsi="Arial" w:eastAsia="等线" w:cs="Arial"/>
          <w:b w:val="0"/>
          <w:bCs w:val="0"/>
          <w:sz w:val="22"/>
          <w:highlight w:val="none"/>
          <w:lang w:val="en-US" w:eastAsia="zh-CN"/>
        </w:rPr>
      </w:pPr>
      <w:r>
        <w:rPr>
          <w:rFonts w:hint="eastAsia" w:ascii="Arial" w:hAnsi="Arial" w:eastAsia="等线" w:cs="Arial"/>
          <w:b w:val="0"/>
          <w:bCs w:val="0"/>
          <w:sz w:val="22"/>
          <w:highlight w:val="none"/>
          <w:lang w:val="en-US" w:eastAsia="zh-CN"/>
        </w:rPr>
        <w:t>备注：2026年7月之后，平台不再限于11个外卖平台，会有14个快车平台也纳入其中，人数无法预估。</w:t>
      </w:r>
    </w:p>
    <w:p w14:paraId="01584639">
      <w:pPr>
        <w:spacing w:before="300" w:after="120" w:line="288" w:lineRule="auto"/>
        <w:ind w:left="0"/>
        <w:jc w:val="left"/>
        <w:outlineLvl w:val="2"/>
      </w:pPr>
      <w:bookmarkStart w:id="4" w:name="heading_5"/>
      <w:r>
        <w:rPr>
          <w:rFonts w:ascii="Arial" w:hAnsi="Arial" w:eastAsia="等线" w:cs="Arial"/>
          <w:b/>
          <w:sz w:val="30"/>
        </w:rPr>
        <w:t>1.3 核心目标</w:t>
      </w:r>
      <w:bookmarkEnd w:id="4"/>
    </w:p>
    <w:p w14:paraId="26C947CF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建立线下教育点+现场打卡的警示教育模式</w:t>
      </w:r>
    </w:p>
    <w:p w14:paraId="6CD67C91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形成真实、有效、可用于政府报账的教育数据</w:t>
      </w:r>
    </w:p>
    <w:p w14:paraId="5C1EBB6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构建“事前预防+事后兜底”的完整安全保障闭环</w:t>
      </w:r>
    </w:p>
    <w:p w14:paraId="1F0851D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打造公益品牌，为后续公益基金、全省推广奠定基础</w:t>
      </w:r>
    </w:p>
    <w:p w14:paraId="3A63F438">
      <w:pPr>
        <w:spacing w:before="300" w:after="120" w:line="288" w:lineRule="auto"/>
        <w:ind w:left="0"/>
        <w:jc w:val="left"/>
        <w:outlineLvl w:val="2"/>
      </w:pPr>
      <w:bookmarkStart w:id="5" w:name="heading_6"/>
      <w:r>
        <w:rPr>
          <w:rFonts w:ascii="Arial" w:hAnsi="Arial" w:eastAsia="等线" w:cs="Arial"/>
          <w:b/>
          <w:sz w:val="30"/>
        </w:rPr>
        <w:t>1.4 实施计划</w:t>
      </w:r>
      <w:bookmarkEnd w:id="5"/>
    </w:p>
    <w:p w14:paraId="5178C6A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试点阶段：济南市某区试点，布设数十至100个教育点</w:t>
      </w:r>
    </w:p>
    <w:p w14:paraId="03DD4F1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推广阶段：试点成熟后逐步覆盖全市、全省</w:t>
      </w:r>
    </w:p>
    <w:p w14:paraId="7F77511A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>时间要求：</w:t>
      </w:r>
      <w:r>
        <w:rPr>
          <w:rFonts w:hint="eastAsia" w:ascii="Arial" w:hAnsi="Arial" w:eastAsia="等线" w:cs="Arial"/>
          <w:sz w:val="22"/>
          <w:lang w:val="en-US" w:eastAsia="zh-CN"/>
        </w:rPr>
        <w:t>2026年4月底初版上线。</w:t>
      </w:r>
    </w:p>
    <w:p w14:paraId="5D4AD1A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3EF40D8">
      <w:pPr>
        <w:spacing w:before="320" w:after="120" w:line="288" w:lineRule="auto"/>
        <w:ind w:left="0"/>
        <w:jc w:val="left"/>
        <w:outlineLvl w:val="1"/>
      </w:pPr>
      <w:bookmarkStart w:id="6" w:name="heading_7"/>
      <w:r>
        <w:rPr>
          <w:rFonts w:ascii="Arial" w:hAnsi="Arial" w:eastAsia="等线" w:cs="Arial"/>
          <w:b/>
          <w:sz w:val="32"/>
        </w:rPr>
        <w:t>二、设计原则</w:t>
      </w:r>
      <w:bookmarkEnd w:id="6"/>
    </w:p>
    <w:p w14:paraId="13BF82EF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极简极速：所有操作1分钟内完成</w:t>
      </w:r>
    </w:p>
    <w:p w14:paraId="2A2454E7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线下为主：仅认可现场打卡数据，线上仅做辅助</w:t>
      </w:r>
    </w:p>
    <w:p w14:paraId="7B014659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Arial" w:hAnsi="Arial" w:eastAsia="等线" w:cs="Arial"/>
          <w:sz w:val="22"/>
          <w:highlight w:val="none"/>
          <w:lang w:val="en-US" w:eastAsia="zh-CN"/>
        </w:rPr>
      </w:pPr>
      <w:r>
        <w:rPr>
          <w:rFonts w:ascii="Arial" w:hAnsi="Arial" w:eastAsia="等线" w:cs="Arial"/>
          <w:sz w:val="22"/>
          <w:highlight w:val="none"/>
        </w:rPr>
        <w:t>数据留痕：信息安全存储</w:t>
      </w:r>
      <w:r>
        <w:rPr>
          <w:rFonts w:hint="eastAsia" w:ascii="Arial" w:hAnsi="Arial" w:eastAsia="等线" w:cs="Arial"/>
          <w:b/>
          <w:bCs/>
          <w:color w:val="376092" w:themeColor="accent1" w:themeShade="BF"/>
          <w:sz w:val="28"/>
          <w:szCs w:val="28"/>
          <w:highlight w:val="none"/>
          <w:lang w:val="en-US" w:eastAsia="zh-CN"/>
        </w:rPr>
        <w:t>要求10年</w:t>
      </w:r>
      <w:r>
        <w:rPr>
          <w:rFonts w:ascii="Arial" w:hAnsi="Arial" w:eastAsia="等线" w:cs="Arial"/>
          <w:sz w:val="22"/>
          <w:highlight w:val="none"/>
        </w:rPr>
        <w:t>，满足审计与报账要求</w:t>
      </w:r>
    </w:p>
    <w:p w14:paraId="202B7FC9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安全合规：严控舆情风险，不开放互动评论功能</w:t>
      </w:r>
    </w:p>
    <w:p w14:paraId="0A8396F6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Arial" w:hAnsi="Arial" w:eastAsia="等线" w:cs="Arial"/>
          <w:b/>
          <w:bCs/>
          <w:color w:val="FF0000"/>
          <w:sz w:val="22"/>
          <w:highlight w:val="none"/>
          <w:lang w:val="en-US" w:eastAsia="zh-CN"/>
        </w:rPr>
      </w:pPr>
      <w:r>
        <w:rPr>
          <w:rFonts w:ascii="Arial" w:hAnsi="Arial" w:eastAsia="等线" w:cs="Arial"/>
          <w:sz w:val="22"/>
        </w:rPr>
        <w:t>逐步迭代：</w:t>
      </w:r>
      <w:r>
        <w:rPr>
          <w:rFonts w:ascii="Arial" w:hAnsi="Arial" w:eastAsia="等线" w:cs="Arial"/>
          <w:sz w:val="22"/>
          <w:highlight w:val="none"/>
        </w:rPr>
        <w:t>先上线核心功能，再根据实际运营持续优化</w:t>
      </w:r>
      <w:r>
        <w:rPr>
          <w:rFonts w:hint="eastAsia" w:ascii="Arial" w:hAnsi="Arial" w:eastAsia="等线" w:cs="Arial"/>
          <w:sz w:val="22"/>
          <w:highlight w:val="none"/>
          <w:lang w:eastAsia="zh-CN"/>
        </w:rPr>
        <w:t>。</w:t>
      </w:r>
      <w:r>
        <w:rPr>
          <w:rFonts w:hint="eastAsia" w:ascii="Arial" w:hAnsi="Arial" w:eastAsia="等线" w:cs="Arial"/>
          <w:sz w:val="22"/>
          <w:highlight w:val="none"/>
          <w:lang w:val="en-US" w:eastAsia="zh-CN"/>
        </w:rPr>
        <w:t>运营由甲方自主运营。</w:t>
      </w:r>
    </w:p>
    <w:p w14:paraId="001971A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DBD7540">
      <w:pPr>
        <w:spacing w:before="320" w:after="120" w:line="288" w:lineRule="auto"/>
        <w:ind w:left="0"/>
        <w:jc w:val="left"/>
        <w:outlineLvl w:val="1"/>
      </w:pPr>
      <w:bookmarkStart w:id="7" w:name="heading_8"/>
      <w:r>
        <w:rPr>
          <w:rFonts w:ascii="Arial" w:hAnsi="Arial" w:eastAsia="等线" w:cs="Arial"/>
          <w:b/>
          <w:sz w:val="32"/>
        </w:rPr>
        <w:t>三、系统整体架构</w:t>
      </w:r>
      <w:bookmarkEnd w:id="7"/>
    </w:p>
    <w:p w14:paraId="23B971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系统分为两大模块：</w:t>
      </w:r>
    </w:p>
    <w:p w14:paraId="44CF402D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骑手端（微信小程序）：打卡、信息登记、导航、通知、兑换资格展示</w:t>
      </w:r>
    </w:p>
    <w:p w14:paraId="685ABC4B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管理后台（PC端）：点位管理、用户管理、规则配置、积分核销、数据统计、消息推送</w:t>
      </w:r>
    </w:p>
    <w:p w14:paraId="4B1C5A3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4587FF7">
      <w:pPr>
        <w:spacing w:before="320" w:after="120" w:line="288" w:lineRule="auto"/>
        <w:ind w:left="0"/>
        <w:jc w:val="left"/>
        <w:outlineLvl w:val="1"/>
      </w:pPr>
      <w:bookmarkStart w:id="8" w:name="heading_9"/>
      <w:r>
        <w:rPr>
          <w:rFonts w:ascii="Arial" w:hAnsi="Arial" w:eastAsia="等线" w:cs="Arial"/>
          <w:b/>
          <w:sz w:val="32"/>
        </w:rPr>
        <w:t>四、骑手端（小程序）功能需求</w:t>
      </w:r>
      <w:bookmarkEnd w:id="8"/>
    </w:p>
    <w:p w14:paraId="7E198701">
      <w:pPr>
        <w:spacing w:before="300" w:after="120" w:line="288" w:lineRule="auto"/>
        <w:ind w:left="0"/>
        <w:jc w:val="left"/>
        <w:outlineLvl w:val="2"/>
      </w:pPr>
      <w:bookmarkStart w:id="9" w:name="heading_10"/>
      <w:r>
        <w:rPr>
          <w:rFonts w:ascii="Arial" w:hAnsi="Arial" w:eastAsia="等线" w:cs="Arial"/>
          <w:b/>
          <w:sz w:val="30"/>
        </w:rPr>
        <w:t>4.1 扫码打卡（核心功能）</w:t>
      </w:r>
      <w:bookmarkEnd w:id="9"/>
    </w:p>
    <w:p w14:paraId="790C0E2D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线下教育点扫码进入打卡页面</w:t>
      </w:r>
    </w:p>
    <w:p w14:paraId="7BBBFB70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填写身份证号、手机号</w:t>
      </w:r>
    </w:p>
    <w:p w14:paraId="6C49C042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上传现场</w:t>
      </w:r>
      <w:r>
        <w:rPr>
          <w:rFonts w:hint="eastAsia" w:ascii="Arial" w:hAnsi="Arial" w:eastAsia="等线" w:cs="Arial"/>
          <w:sz w:val="22"/>
          <w:lang w:val="en-US" w:eastAsia="zh-CN"/>
        </w:rPr>
        <w:t>与工作人员合照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需要加照片定位水印，确保是在现场拍的，避免造假</w:t>
      </w:r>
      <w:r>
        <w:rPr>
          <w:rFonts w:hint="eastAsia" w:ascii="Arial" w:hAnsi="Arial" w:eastAsia="等线" w:cs="Arial"/>
          <w:sz w:val="22"/>
          <w:lang w:eastAsia="zh-CN"/>
        </w:rPr>
        <w:t>）</w:t>
      </w:r>
    </w:p>
    <w:p w14:paraId="0CECB8DD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系统自动记录：打卡时间、所属点位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  <w:lang w:val="en-US" w:eastAsia="zh-CN"/>
        </w:rPr>
        <w:t>教育周期</w:t>
      </w:r>
    </w:p>
    <w:p w14:paraId="002A7008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提示打卡结果、积分变动、本期上限状态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ascii="Arial" w:hAnsi="Arial" w:eastAsia="等线" w:cs="Arial"/>
          <w:sz w:val="22"/>
        </w:rPr>
        <w:t>单人每个教育周期（月 / 季度）内，有效打卡次数、积分有最高限额</w:t>
      </w:r>
      <w:r>
        <w:rPr>
          <w:rFonts w:hint="eastAsia" w:ascii="Arial" w:hAnsi="Arial" w:eastAsia="等线" w:cs="Arial"/>
          <w:sz w:val="22"/>
          <w:lang w:eastAsia="zh-CN"/>
        </w:rPr>
        <w:t>）</w:t>
      </w:r>
    </w:p>
    <w:p w14:paraId="7E3BA4C1">
      <w:pPr>
        <w:spacing w:before="300" w:after="120" w:line="288" w:lineRule="auto"/>
        <w:ind w:left="0"/>
        <w:jc w:val="left"/>
        <w:outlineLvl w:val="2"/>
      </w:pPr>
      <w:bookmarkStart w:id="10" w:name="heading_11"/>
      <w:r>
        <w:rPr>
          <w:rFonts w:ascii="Arial" w:hAnsi="Arial" w:eastAsia="等线" w:cs="Arial"/>
          <w:b/>
          <w:sz w:val="30"/>
        </w:rPr>
        <w:t>4.2 教育点导航</w:t>
      </w:r>
      <w:bookmarkEnd w:id="10"/>
    </w:p>
    <w:p w14:paraId="11BD0703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展示附近教育点名称、地址、开放状态</w:t>
      </w:r>
    </w:p>
    <w:p w14:paraId="5999053E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支持地图导航</w:t>
      </w:r>
    </w:p>
    <w:p w14:paraId="65EC7FF6">
      <w:pPr>
        <w:spacing w:before="300" w:after="120" w:line="288" w:lineRule="auto"/>
        <w:ind w:left="0"/>
        <w:jc w:val="left"/>
        <w:outlineLvl w:val="2"/>
      </w:pPr>
      <w:bookmarkStart w:id="11" w:name="heading_12"/>
      <w:r>
        <w:rPr>
          <w:rFonts w:ascii="Arial" w:hAnsi="Arial" w:eastAsia="等线" w:cs="Arial"/>
          <w:b/>
          <w:sz w:val="30"/>
        </w:rPr>
        <w:t>4.3 我的记录</w:t>
      </w:r>
      <w:bookmarkEnd w:id="11"/>
    </w:p>
    <w:p w14:paraId="10398F09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历史打卡记录（时间、点位、周期、积分）</w:t>
      </w:r>
    </w:p>
    <w:p w14:paraId="269BEE0F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累计积分、本期可用积分</w:t>
      </w:r>
    </w:p>
    <w:p w14:paraId="72FEFB4C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礼品兑换资格、核销记录</w:t>
      </w:r>
    </w:p>
    <w:p w14:paraId="45D4D763">
      <w:pPr>
        <w:spacing w:before="300" w:after="120" w:line="288" w:lineRule="auto"/>
        <w:ind w:left="0"/>
        <w:jc w:val="left"/>
        <w:outlineLvl w:val="2"/>
      </w:pPr>
      <w:bookmarkStart w:id="12" w:name="heading_13"/>
      <w:r>
        <w:rPr>
          <w:rFonts w:ascii="Arial" w:hAnsi="Arial" w:eastAsia="等线" w:cs="Arial"/>
          <w:b/>
          <w:sz w:val="30"/>
        </w:rPr>
        <w:t>4.4 信息展示</w:t>
      </w:r>
      <w:bookmarkEnd w:id="12"/>
    </w:p>
    <w:p w14:paraId="6D70DB3E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新就业形态保障政策说明</w:t>
      </w:r>
    </w:p>
    <w:p w14:paraId="2D3A5202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工伤理赔流程</w:t>
      </w:r>
    </w:p>
    <w:p w14:paraId="1DEF023E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本区域</w:t>
      </w:r>
      <w:r>
        <w:rPr>
          <w:rFonts w:ascii="Arial" w:hAnsi="Arial" w:eastAsia="等线" w:cs="Arial"/>
          <w:sz w:val="22"/>
        </w:rPr>
        <w:t>安全警示案例（图文）</w:t>
      </w:r>
      <w:r>
        <w:rPr>
          <w:rFonts w:hint="eastAsia" w:ascii="Arial" w:hAnsi="Arial" w:eastAsia="等线" w:cs="Arial"/>
          <w:sz w:val="22"/>
          <w:lang w:eastAsia="zh-CN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以教育网点的定位所处行政区划为准，如历下区、槐荫区）</w:t>
      </w:r>
    </w:p>
    <w:p w14:paraId="609CA058">
      <w:pPr>
        <w:spacing w:before="300" w:after="120" w:line="288" w:lineRule="auto"/>
        <w:ind w:left="0"/>
        <w:jc w:val="left"/>
        <w:outlineLvl w:val="2"/>
      </w:pPr>
      <w:bookmarkStart w:id="13" w:name="heading_14"/>
      <w:r>
        <w:rPr>
          <w:rFonts w:ascii="Arial" w:hAnsi="Arial" w:eastAsia="等线" w:cs="Arial"/>
          <w:b/>
          <w:sz w:val="30"/>
        </w:rPr>
        <w:t>4.5 消息通知</w:t>
      </w:r>
      <w:bookmarkEnd w:id="13"/>
    </w:p>
    <w:p w14:paraId="29A72104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系统公告、活动通知、兑换提醒</w:t>
      </w:r>
    </w:p>
    <w:p w14:paraId="29787628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支持小程序订阅消息+短信推送</w:t>
      </w:r>
    </w:p>
    <w:p w14:paraId="60F6F0E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4220A14">
      <w:pPr>
        <w:spacing w:before="320" w:after="120" w:line="288" w:lineRule="auto"/>
        <w:ind w:left="0"/>
        <w:jc w:val="left"/>
        <w:outlineLvl w:val="1"/>
      </w:pPr>
      <w:bookmarkStart w:id="14" w:name="heading_15"/>
      <w:r>
        <w:rPr>
          <w:rFonts w:ascii="Arial" w:hAnsi="Arial" w:eastAsia="等线" w:cs="Arial"/>
          <w:b/>
          <w:sz w:val="32"/>
        </w:rPr>
        <w:t>五、管理后台功能需求</w:t>
      </w:r>
      <w:bookmarkEnd w:id="14"/>
    </w:p>
    <w:p w14:paraId="01565EC0">
      <w:pPr>
        <w:spacing w:before="300" w:after="120" w:line="288" w:lineRule="auto"/>
        <w:ind w:left="0"/>
        <w:jc w:val="left"/>
        <w:outlineLvl w:val="2"/>
      </w:pPr>
      <w:bookmarkStart w:id="15" w:name="heading_16"/>
      <w:r>
        <w:rPr>
          <w:rFonts w:ascii="Arial" w:hAnsi="Arial" w:eastAsia="等线" w:cs="Arial"/>
          <w:b/>
          <w:sz w:val="30"/>
        </w:rPr>
        <w:t>5.1 教育点管理</w:t>
      </w:r>
      <w:bookmarkEnd w:id="15"/>
    </w:p>
    <w:p w14:paraId="3927A534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支持新增、编辑、禁用教育点</w:t>
      </w:r>
    </w:p>
    <w:p w14:paraId="5B6AC33B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可按区域、状态筛选查看</w:t>
      </w:r>
    </w:p>
    <w:p w14:paraId="3C108BD3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记录点位信息、联系人、运营状态</w:t>
      </w:r>
    </w:p>
    <w:p w14:paraId="07A01873">
      <w:pPr>
        <w:spacing w:before="300" w:after="120" w:line="288" w:lineRule="auto"/>
        <w:ind w:left="0"/>
        <w:jc w:val="left"/>
        <w:outlineLvl w:val="2"/>
      </w:pPr>
      <w:bookmarkStart w:id="16" w:name="heading_17"/>
      <w:r>
        <w:rPr>
          <w:rFonts w:ascii="Arial" w:hAnsi="Arial" w:eastAsia="等线" w:cs="Arial"/>
          <w:b/>
          <w:sz w:val="30"/>
        </w:rPr>
        <w:t>5.2 打卡与用户管理</w:t>
      </w:r>
      <w:bookmarkEnd w:id="16"/>
    </w:p>
    <w:p w14:paraId="7661947B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查看打卡明细（身份信息、手机号、现场照片、点位、时间、周期）</w:t>
      </w:r>
    </w:p>
    <w:p w14:paraId="286E0EB4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支持数据检索、筛选、导出Excel</w:t>
      </w:r>
    </w:p>
    <w:p w14:paraId="2EDA8264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支持信息脱敏与权限控制</w:t>
      </w:r>
    </w:p>
    <w:p w14:paraId="10196DEC">
      <w:pPr>
        <w:spacing w:before="300" w:after="120" w:line="288" w:lineRule="auto"/>
        <w:ind w:left="0"/>
        <w:jc w:val="left"/>
        <w:outlineLvl w:val="2"/>
      </w:pPr>
      <w:bookmarkStart w:id="17" w:name="heading_18"/>
      <w:r>
        <w:rPr>
          <w:rFonts w:ascii="Arial" w:hAnsi="Arial" w:eastAsia="等线" w:cs="Arial"/>
          <w:b/>
          <w:sz w:val="30"/>
        </w:rPr>
        <w:t>5.3 周期与规则配置</w:t>
      </w:r>
      <w:bookmarkEnd w:id="17"/>
    </w:p>
    <w:p w14:paraId="0978D419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支持按自然月/季度设置教育周期</w:t>
      </w:r>
    </w:p>
    <w:p w14:paraId="168D28DB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可配置单人每期打卡次数上限</w:t>
      </w:r>
    </w:p>
    <w:p w14:paraId="3A2E6CF7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可配置单次打卡积分、每期积分封顶值</w:t>
      </w:r>
    </w:p>
    <w:p w14:paraId="1298350D">
      <w:pPr>
        <w:spacing w:before="300" w:after="120" w:line="288" w:lineRule="auto"/>
        <w:ind w:left="0"/>
        <w:jc w:val="left"/>
        <w:outlineLvl w:val="2"/>
      </w:pPr>
      <w:bookmarkStart w:id="18" w:name="heading_19"/>
      <w:r>
        <w:rPr>
          <w:rFonts w:ascii="Arial" w:hAnsi="Arial" w:eastAsia="等线" w:cs="Arial"/>
          <w:b/>
          <w:sz w:val="30"/>
        </w:rPr>
        <w:t>5.4 积分与礼品核销</w:t>
      </w:r>
      <w:bookmarkEnd w:id="18"/>
    </w:p>
    <w:p w14:paraId="64A84312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后台生成可兑换名单</w:t>
      </w:r>
    </w:p>
    <w:p w14:paraId="2E83D6AE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线下点位扫码核销</w:t>
      </w:r>
    </w:p>
    <w:p w14:paraId="5808DB74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核销记录可查询、可导出</w:t>
      </w:r>
    </w:p>
    <w:p w14:paraId="0D60913B">
      <w:pPr>
        <w:spacing w:before="300" w:after="120" w:line="288" w:lineRule="auto"/>
        <w:ind w:left="0"/>
        <w:jc w:val="left"/>
        <w:outlineLvl w:val="2"/>
      </w:pPr>
      <w:bookmarkStart w:id="19" w:name="heading_20"/>
      <w:r>
        <w:rPr>
          <w:rFonts w:ascii="Arial" w:hAnsi="Arial" w:eastAsia="等线" w:cs="Arial"/>
          <w:b/>
          <w:sz w:val="30"/>
        </w:rPr>
        <w:t>5.5 消息推送</w:t>
      </w:r>
      <w:bookmarkEnd w:id="19"/>
    </w:p>
    <w:p w14:paraId="66E4636E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支持按区域、点位、全量推送</w:t>
      </w:r>
    </w:p>
    <w:p w14:paraId="09DAF36F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支持小程序消息+短信双通道</w:t>
      </w:r>
    </w:p>
    <w:p w14:paraId="7FD5CA01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模板管理、发送记录、发送结果统计</w:t>
      </w:r>
    </w:p>
    <w:p w14:paraId="42171E2D">
      <w:pPr>
        <w:spacing w:before="300" w:after="120" w:line="288" w:lineRule="auto"/>
        <w:ind w:left="0"/>
        <w:jc w:val="left"/>
        <w:outlineLvl w:val="2"/>
      </w:pPr>
      <w:bookmarkStart w:id="20" w:name="heading_21"/>
      <w:r>
        <w:rPr>
          <w:rFonts w:ascii="Arial" w:hAnsi="Arial" w:eastAsia="等线" w:cs="Arial"/>
          <w:b/>
          <w:sz w:val="30"/>
        </w:rPr>
        <w:t>5.6 数据统计与可视化</w:t>
      </w:r>
      <w:bookmarkEnd w:id="20"/>
    </w:p>
    <w:p w14:paraId="675316F6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按点位统计：打卡人次、人数、次数</w:t>
      </w:r>
    </w:p>
    <w:p w14:paraId="3D1E3170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按周期统计：月度/季度/年度覆盖量</w:t>
      </w:r>
    </w:p>
    <w:p w14:paraId="509B80DD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按区域统计：覆盖率、完成情况排名</w:t>
      </w:r>
    </w:p>
    <w:p w14:paraId="1010B311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数据导出，支持与出险数据做对比分析</w:t>
      </w:r>
    </w:p>
    <w:p w14:paraId="3A0CFB40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提供折线图、柱状图、排名表等可视化展示</w:t>
      </w:r>
    </w:p>
    <w:p w14:paraId="08D27EBF">
      <w:pPr>
        <w:spacing w:before="300" w:after="120" w:line="288" w:lineRule="auto"/>
        <w:ind w:left="0"/>
        <w:jc w:val="left"/>
        <w:outlineLvl w:val="2"/>
      </w:pPr>
      <w:bookmarkStart w:id="21" w:name="heading_22"/>
      <w:r>
        <w:rPr>
          <w:rFonts w:ascii="Arial" w:hAnsi="Arial" w:eastAsia="等线" w:cs="Arial"/>
          <w:b/>
          <w:sz w:val="30"/>
        </w:rPr>
        <w:t>5.7 系统管理</w:t>
      </w:r>
      <w:bookmarkEnd w:id="21"/>
    </w:p>
    <w:p w14:paraId="2AB8806F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账号、角色、权限管理</w:t>
      </w:r>
    </w:p>
    <w:p w14:paraId="5AF2AF6B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操作日志、数据备份</w:t>
      </w:r>
    </w:p>
    <w:p w14:paraId="1936A088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系统参数配置</w:t>
      </w:r>
    </w:p>
    <w:p w14:paraId="348E4E3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D9F4E2F">
      <w:pPr>
        <w:spacing w:before="320" w:after="120" w:line="288" w:lineRule="auto"/>
        <w:ind w:left="0"/>
        <w:jc w:val="left"/>
        <w:outlineLvl w:val="1"/>
      </w:pPr>
      <w:bookmarkStart w:id="22" w:name="heading_23"/>
      <w:r>
        <w:rPr>
          <w:rFonts w:ascii="Arial" w:hAnsi="Arial" w:eastAsia="等线" w:cs="Arial"/>
          <w:b/>
          <w:sz w:val="32"/>
        </w:rPr>
        <w:t>六、积分与激励规则（极简版）</w:t>
      </w:r>
      <w:bookmarkEnd w:id="22"/>
    </w:p>
    <w:p w14:paraId="78F0B0E1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骑手完成一次有效打卡获得固定积分</w:t>
      </w:r>
    </w:p>
    <w:p w14:paraId="1FDA07EB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每期每人积分封顶，超出不计入有效数据</w:t>
      </w:r>
    </w:p>
    <w:p w14:paraId="65E6A3DD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积分仅用于线下兑换实物礼品（生活必需品）</w:t>
      </w:r>
    </w:p>
    <w:p w14:paraId="453F14DC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兑换流程：</w:t>
      </w:r>
    </w:p>
    <w:p w14:paraId="6BFE5E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后台生成兑换名单 → 骑手到教育点 → 扫码核销 → 领取礼品 → 记录归档</w:t>
      </w:r>
    </w:p>
    <w:p w14:paraId="1A921140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不设线上商城、不设多级兑换、不设虚拟奖品</w:t>
      </w:r>
    </w:p>
    <w:p w14:paraId="09C02EB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806A557">
      <w:pPr>
        <w:spacing w:before="320" w:after="120" w:line="288" w:lineRule="auto"/>
        <w:ind w:left="0"/>
        <w:jc w:val="left"/>
        <w:outlineLvl w:val="1"/>
      </w:pPr>
      <w:bookmarkStart w:id="23" w:name="heading_24"/>
      <w:r>
        <w:rPr>
          <w:rFonts w:ascii="Arial" w:hAnsi="Arial" w:eastAsia="等线" w:cs="Arial"/>
          <w:b/>
          <w:sz w:val="32"/>
        </w:rPr>
        <w:t>七、非功能需求</w:t>
      </w:r>
      <w:bookmarkEnd w:id="23"/>
    </w:p>
    <w:p w14:paraId="187BFAA3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数据存储：安全存储≥10年，支持审计、核验、报账</w:t>
      </w:r>
    </w:p>
    <w:p w14:paraId="5144A7FA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性能要求：支持高并发打卡，系统稳定可用</w:t>
      </w:r>
    </w:p>
    <w:p w14:paraId="0A51A0D6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安全要求：用户信息加密、防刷、防重复打卡</w:t>
      </w:r>
    </w:p>
    <w:p w14:paraId="0871A920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扩展性：架构预留扩展接口，支持后续公益活动、公益基金、品牌宣传等模块接入</w:t>
      </w:r>
    </w:p>
    <w:p w14:paraId="418A110B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合规要求：符合个人信息保护、政务数据管理相关规定</w:t>
      </w:r>
    </w:p>
    <w:p w14:paraId="2AF2145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6586BA5">
      <w:pPr>
        <w:spacing w:before="320" w:after="120" w:line="288" w:lineRule="auto"/>
        <w:ind w:left="0"/>
        <w:jc w:val="left"/>
        <w:outlineLvl w:val="1"/>
      </w:pPr>
      <w:bookmarkStart w:id="24" w:name="heading_25"/>
      <w:r>
        <w:rPr>
          <w:rFonts w:ascii="Arial" w:hAnsi="Arial" w:eastAsia="等线" w:cs="Arial"/>
          <w:b/>
          <w:sz w:val="32"/>
        </w:rPr>
        <w:t>八、严禁功能（风险控制）</w:t>
      </w:r>
      <w:bookmarkEnd w:id="24"/>
    </w:p>
    <w:p w14:paraId="672F2FEF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不开发线上学习、课程、考试、答题、闯关等功能</w:t>
      </w:r>
    </w:p>
    <w:p w14:paraId="007AE7F3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不开放论坛、评论、留言、发布、互动功能</w:t>
      </w:r>
    </w:p>
    <w:p w14:paraId="63057DE5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不设置转发奖励、拉新奖励、师徒奖励</w:t>
      </w:r>
    </w:p>
    <w:p w14:paraId="3E89C3AA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不植入任何商业保险产品与营销内容</w:t>
      </w:r>
    </w:p>
    <w:p w14:paraId="295BCDB6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不设计复杂流程、下载安装、多步验证等操作</w:t>
      </w:r>
    </w:p>
    <w:p w14:paraId="039F3CC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AF48E96">
      <w:pPr>
        <w:spacing w:before="320" w:after="120" w:line="288" w:lineRule="auto"/>
        <w:ind w:left="0"/>
        <w:jc w:val="left"/>
        <w:outlineLvl w:val="1"/>
      </w:pPr>
      <w:bookmarkStart w:id="25" w:name="heading_26"/>
      <w:r>
        <w:rPr>
          <w:rFonts w:ascii="Arial" w:hAnsi="Arial" w:eastAsia="等线" w:cs="Arial"/>
          <w:b/>
          <w:sz w:val="32"/>
        </w:rPr>
        <w:t>九、实施与交付计划</w:t>
      </w:r>
      <w:bookmarkEnd w:id="25"/>
    </w:p>
    <w:p w14:paraId="44E31D56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1.     设计方案：一周内完成方案初稿</w:t>
      </w:r>
    </w:p>
    <w:p w14:paraId="4005A061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设计开发：3–4周完成核心功能开发</w:t>
      </w:r>
    </w:p>
    <w:p w14:paraId="75A2EF01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测试验收：1周完成内部测试与客户验收</w:t>
      </w:r>
    </w:p>
    <w:p w14:paraId="2D000E33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试点上线：按</w:t>
      </w:r>
      <w:r>
        <w:rPr>
          <w:rFonts w:hint="eastAsia" w:ascii="Arial" w:hAnsi="Arial" w:eastAsia="等线" w:cs="Arial"/>
          <w:sz w:val="22"/>
          <w:lang w:val="en-US" w:eastAsia="zh-CN"/>
        </w:rPr>
        <w:t>4</w:t>
      </w:r>
      <w:r>
        <w:rPr>
          <w:rFonts w:ascii="Arial" w:hAnsi="Arial" w:eastAsia="等线" w:cs="Arial"/>
          <w:sz w:val="22"/>
        </w:rPr>
        <w:t>月</w:t>
      </w:r>
      <w:r>
        <w:rPr>
          <w:rFonts w:hint="eastAsia" w:ascii="Arial" w:hAnsi="Arial" w:eastAsia="等线" w:cs="Arial"/>
          <w:sz w:val="22"/>
          <w:lang w:val="en-US" w:eastAsia="zh-CN"/>
        </w:rPr>
        <w:t>底</w:t>
      </w:r>
      <w:r>
        <w:rPr>
          <w:rFonts w:ascii="Arial" w:hAnsi="Arial" w:eastAsia="等线" w:cs="Arial"/>
          <w:sz w:val="22"/>
        </w:rPr>
        <w:t>节点要求完成可用版本</w:t>
      </w:r>
    </w:p>
    <w:p w14:paraId="6FE429B9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迭代优化：</w:t>
      </w:r>
      <w:r>
        <w:rPr>
          <w:rFonts w:hint="eastAsia" w:ascii="Arial" w:hAnsi="Arial" w:eastAsia="等线" w:cs="Arial"/>
          <w:sz w:val="22"/>
          <w:lang w:val="en-US" w:eastAsia="zh-CN"/>
        </w:rPr>
        <w:t>后续</w:t>
      </w:r>
      <w:r>
        <w:rPr>
          <w:rFonts w:ascii="Arial" w:hAnsi="Arial" w:eastAsia="等线" w:cs="Arial"/>
          <w:sz w:val="22"/>
        </w:rPr>
        <w:t>根据试点运营情况持续升级优化</w:t>
      </w:r>
    </w:p>
    <w:p w14:paraId="68FA77B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A515A94">
      <w:pPr>
        <w:spacing w:before="320" w:after="120" w:line="288" w:lineRule="auto"/>
        <w:ind w:left="0"/>
        <w:jc w:val="left"/>
        <w:outlineLvl w:val="1"/>
      </w:pPr>
      <w:bookmarkStart w:id="26" w:name="heading_27"/>
      <w:r>
        <w:rPr>
          <w:rFonts w:ascii="Arial" w:hAnsi="Arial" w:eastAsia="等线" w:cs="Arial"/>
          <w:b/>
          <w:sz w:val="32"/>
        </w:rPr>
        <w:t>十、项目价值</w:t>
      </w:r>
      <w:bookmarkEnd w:id="26"/>
    </w:p>
    <w:p w14:paraId="0B151DD9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政府价值：可量化、可验收、可展示的工伤预防工作成果</w:t>
      </w:r>
    </w:p>
    <w:p w14:paraId="4B8AC9C8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社会价值：降低事故发生率，关爱新就业群体，提升安全保障水平</w:t>
      </w:r>
    </w:p>
    <w:p w14:paraId="744DC858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客户价值：树立行业标杆，打造公益品牌，获得政策认可与支持</w:t>
      </w:r>
    </w:p>
    <w:p w14:paraId="0E4ADCA0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数据价值：形成真实教育数据，可用于效果分析、政策申报、经费申请</w:t>
      </w:r>
      <w:bookmarkStart w:id="27" w:name="_GoBack"/>
      <w:bookmarkEnd w:id="27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29A15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EA779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8CAEB125"/>
    <w:multiLevelType w:val="singleLevel"/>
    <w:tmpl w:val="8CAEB1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91995D4F"/>
    <w:multiLevelType w:val="singleLevel"/>
    <w:tmpl w:val="91995D4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9288B902"/>
    <w:multiLevelType w:val="singleLevel"/>
    <w:tmpl w:val="9288B90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A0C93552"/>
    <w:multiLevelType w:val="singleLevel"/>
    <w:tmpl w:val="A0C935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A0F05207"/>
    <w:multiLevelType w:val="singleLevel"/>
    <w:tmpl w:val="A0F0520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B23A94A9"/>
    <w:multiLevelType w:val="singleLevel"/>
    <w:tmpl w:val="B23A94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B53F3350"/>
    <w:multiLevelType w:val="singleLevel"/>
    <w:tmpl w:val="B53F335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B88D21A8"/>
    <w:multiLevelType w:val="singleLevel"/>
    <w:tmpl w:val="B88D21A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">
    <w:nsid w:val="B8CEF35B"/>
    <w:multiLevelType w:val="singleLevel"/>
    <w:tmpl w:val="B8CEF35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BB64CFA9"/>
    <w:multiLevelType w:val="singleLevel"/>
    <w:tmpl w:val="BB64CF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C0915F4F"/>
    <w:multiLevelType w:val="singleLevel"/>
    <w:tmpl w:val="C0915F4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">
    <w:nsid w:val="C4E0D24A"/>
    <w:multiLevelType w:val="singleLevel"/>
    <w:tmpl w:val="C4E0D24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9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D7D140E4"/>
    <w:multiLevelType w:val="singleLevel"/>
    <w:tmpl w:val="D7D140E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D7F9FE59"/>
    <w:multiLevelType w:val="singleLevel"/>
    <w:tmpl w:val="D7F9FE5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DAD3A854"/>
    <w:multiLevelType w:val="singleLevel"/>
    <w:tmpl w:val="DAD3A85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E093A4B0"/>
    <w:multiLevelType w:val="singleLevel"/>
    <w:tmpl w:val="E093A4B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E504947C"/>
    <w:multiLevelType w:val="singleLevel"/>
    <w:tmpl w:val="E504947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6">
    <w:nsid w:val="F0E89278"/>
    <w:multiLevelType w:val="singleLevel"/>
    <w:tmpl w:val="F0E8927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F4B5D9F5"/>
    <w:multiLevelType w:val="singleLevel"/>
    <w:tmpl w:val="F4B5D9F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8">
    <w:nsid w:val="F689643B"/>
    <w:multiLevelType w:val="singleLevel"/>
    <w:tmpl w:val="F689643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9">
    <w:nsid w:val="F7735DC9"/>
    <w:multiLevelType w:val="singleLevel"/>
    <w:tmpl w:val="F7735DC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0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1">
    <w:nsid w:val="03A63A41"/>
    <w:multiLevelType w:val="singleLevel"/>
    <w:tmpl w:val="03A63A4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0709FD3E"/>
    <w:multiLevelType w:val="singleLevel"/>
    <w:tmpl w:val="0709FD3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4">
    <w:nsid w:val="0CEF100B"/>
    <w:multiLevelType w:val="singleLevel"/>
    <w:tmpl w:val="0CEF100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5">
    <w:nsid w:val="0F9F9CCA"/>
    <w:multiLevelType w:val="singleLevel"/>
    <w:tmpl w:val="0F9F9C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">
    <w:nsid w:val="12EADF99"/>
    <w:multiLevelType w:val="singleLevel"/>
    <w:tmpl w:val="12EADF9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7">
    <w:nsid w:val="18F74015"/>
    <w:multiLevelType w:val="singleLevel"/>
    <w:tmpl w:val="18F740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8">
    <w:nsid w:val="1ACDE60F"/>
    <w:multiLevelType w:val="singleLevel"/>
    <w:tmpl w:val="1ACDE60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9">
    <w:nsid w:val="1C257C7B"/>
    <w:multiLevelType w:val="singleLevel"/>
    <w:tmpl w:val="1C257C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0">
    <w:nsid w:val="23E97754"/>
    <w:multiLevelType w:val="singleLevel"/>
    <w:tmpl w:val="23E9775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1">
    <w:nsid w:val="243FCF68"/>
    <w:multiLevelType w:val="singleLevel"/>
    <w:tmpl w:val="243FCF6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2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3">
    <w:nsid w:val="30A0AC00"/>
    <w:multiLevelType w:val="singleLevel"/>
    <w:tmpl w:val="30A0AC0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4">
    <w:nsid w:val="30FC5B15"/>
    <w:multiLevelType w:val="singleLevel"/>
    <w:tmpl w:val="30FC5B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5">
    <w:nsid w:val="322D85CA"/>
    <w:multiLevelType w:val="singleLevel"/>
    <w:tmpl w:val="322D85C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6">
    <w:nsid w:val="32A7AF2D"/>
    <w:multiLevelType w:val="singleLevel"/>
    <w:tmpl w:val="32A7AF2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7">
    <w:nsid w:val="35E83B33"/>
    <w:multiLevelType w:val="singleLevel"/>
    <w:tmpl w:val="35E83B3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8">
    <w:nsid w:val="3B8127DF"/>
    <w:multiLevelType w:val="singleLevel"/>
    <w:tmpl w:val="3B8127D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9">
    <w:nsid w:val="40B249F9"/>
    <w:multiLevelType w:val="singleLevel"/>
    <w:tmpl w:val="40B249F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0">
    <w:nsid w:val="4C3D7A74"/>
    <w:multiLevelType w:val="singleLevel"/>
    <w:tmpl w:val="4C3D7A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1">
    <w:nsid w:val="4D94DA66"/>
    <w:multiLevelType w:val="singleLevel"/>
    <w:tmpl w:val="4D94DA6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2">
    <w:nsid w:val="58765686"/>
    <w:multiLevelType w:val="singleLevel"/>
    <w:tmpl w:val="5876568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3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4">
    <w:nsid w:val="5E29AB5A"/>
    <w:multiLevelType w:val="singleLevel"/>
    <w:tmpl w:val="5E29AB5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5">
    <w:nsid w:val="5FFFB1A7"/>
    <w:multiLevelType w:val="singleLevel"/>
    <w:tmpl w:val="5FFFB1A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6">
    <w:nsid w:val="629F7852"/>
    <w:multiLevelType w:val="singleLevel"/>
    <w:tmpl w:val="629F78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7">
    <w:nsid w:val="65CD0074"/>
    <w:multiLevelType w:val="singleLevel"/>
    <w:tmpl w:val="65CD007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8">
    <w:nsid w:val="700FDCEF"/>
    <w:multiLevelType w:val="singleLevel"/>
    <w:tmpl w:val="700FDC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9">
    <w:nsid w:val="72183CF9"/>
    <w:multiLevelType w:val="singleLevel"/>
    <w:tmpl w:val="72183C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0">
    <w:nsid w:val="74C28B35"/>
    <w:multiLevelType w:val="singleLevel"/>
    <w:tmpl w:val="74C28B3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1">
    <w:nsid w:val="77633216"/>
    <w:multiLevelType w:val="singleLevel"/>
    <w:tmpl w:val="7763321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2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3">
    <w:nsid w:val="79AA4FA4"/>
    <w:multiLevelType w:val="singleLevel"/>
    <w:tmpl w:val="79AA4FA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4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5">
    <w:nsid w:val="7DEC2089"/>
    <w:multiLevelType w:val="singleLevel"/>
    <w:tmpl w:val="7DEC208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12"/>
  </w:num>
  <w:num w:numId="2">
    <w:abstractNumId w:val="32"/>
  </w:num>
  <w:num w:numId="3">
    <w:abstractNumId w:val="42"/>
  </w:num>
  <w:num w:numId="4">
    <w:abstractNumId w:val="59"/>
  </w:num>
  <w:num w:numId="5">
    <w:abstractNumId w:val="30"/>
  </w:num>
  <w:num w:numId="6">
    <w:abstractNumId w:val="4"/>
  </w:num>
  <w:num w:numId="7">
    <w:abstractNumId w:val="53"/>
  </w:num>
  <w:num w:numId="8">
    <w:abstractNumId w:val="19"/>
  </w:num>
  <w:num w:numId="9">
    <w:abstractNumId w:val="27"/>
  </w:num>
  <w:num w:numId="10">
    <w:abstractNumId w:val="23"/>
  </w:num>
  <w:num w:numId="11">
    <w:abstractNumId w:val="21"/>
  </w:num>
  <w:num w:numId="12">
    <w:abstractNumId w:val="6"/>
  </w:num>
  <w:num w:numId="13">
    <w:abstractNumId w:val="9"/>
  </w:num>
  <w:num w:numId="14">
    <w:abstractNumId w:val="64"/>
  </w:num>
  <w:num w:numId="15">
    <w:abstractNumId w:val="62"/>
  </w:num>
  <w:num w:numId="16">
    <w:abstractNumId w:val="16"/>
  </w:num>
  <w:num w:numId="17">
    <w:abstractNumId w:val="56"/>
  </w:num>
  <w:num w:numId="18">
    <w:abstractNumId w:val="5"/>
  </w:num>
  <w:num w:numId="19">
    <w:abstractNumId w:val="52"/>
  </w:num>
  <w:num w:numId="20">
    <w:abstractNumId w:val="65"/>
  </w:num>
  <w:num w:numId="21">
    <w:abstractNumId w:val="0"/>
  </w:num>
  <w:num w:numId="22">
    <w:abstractNumId w:val="41"/>
  </w:num>
  <w:num w:numId="23">
    <w:abstractNumId w:val="51"/>
  </w:num>
  <w:num w:numId="24">
    <w:abstractNumId w:val="29"/>
  </w:num>
  <w:num w:numId="25">
    <w:abstractNumId w:val="24"/>
  </w:num>
  <w:num w:numId="26">
    <w:abstractNumId w:val="44"/>
  </w:num>
  <w:num w:numId="27">
    <w:abstractNumId w:val="63"/>
  </w:num>
  <w:num w:numId="28">
    <w:abstractNumId w:val="15"/>
  </w:num>
  <w:num w:numId="29">
    <w:abstractNumId w:val="3"/>
  </w:num>
  <w:num w:numId="30">
    <w:abstractNumId w:val="14"/>
  </w:num>
  <w:num w:numId="31">
    <w:abstractNumId w:val="54"/>
  </w:num>
  <w:num w:numId="32">
    <w:abstractNumId w:val="1"/>
  </w:num>
  <w:num w:numId="33">
    <w:abstractNumId w:val="38"/>
  </w:num>
  <w:num w:numId="34">
    <w:abstractNumId w:val="2"/>
  </w:num>
  <w:num w:numId="35">
    <w:abstractNumId w:val="55"/>
  </w:num>
  <w:num w:numId="36">
    <w:abstractNumId w:val="60"/>
  </w:num>
  <w:num w:numId="37">
    <w:abstractNumId w:val="50"/>
  </w:num>
  <w:num w:numId="38">
    <w:abstractNumId w:val="45"/>
  </w:num>
  <w:num w:numId="39">
    <w:abstractNumId w:val="57"/>
  </w:num>
  <w:num w:numId="40">
    <w:abstractNumId w:val="33"/>
  </w:num>
  <w:num w:numId="41">
    <w:abstractNumId w:val="34"/>
  </w:num>
  <w:num w:numId="42">
    <w:abstractNumId w:val="20"/>
  </w:num>
  <w:num w:numId="43">
    <w:abstractNumId w:val="46"/>
  </w:num>
  <w:num w:numId="44">
    <w:abstractNumId w:val="39"/>
  </w:num>
  <w:num w:numId="45">
    <w:abstractNumId w:val="26"/>
  </w:num>
  <w:num w:numId="46">
    <w:abstractNumId w:val="40"/>
  </w:num>
  <w:num w:numId="47">
    <w:abstractNumId w:val="11"/>
  </w:num>
  <w:num w:numId="48">
    <w:abstractNumId w:val="49"/>
  </w:num>
  <w:num w:numId="49">
    <w:abstractNumId w:val="35"/>
  </w:num>
  <w:num w:numId="50">
    <w:abstractNumId w:val="47"/>
  </w:num>
  <w:num w:numId="51">
    <w:abstractNumId w:val="31"/>
  </w:num>
  <w:num w:numId="52">
    <w:abstractNumId w:val="17"/>
  </w:num>
  <w:num w:numId="53">
    <w:abstractNumId w:val="36"/>
  </w:num>
  <w:num w:numId="54">
    <w:abstractNumId w:val="10"/>
  </w:num>
  <w:num w:numId="55">
    <w:abstractNumId w:val="48"/>
  </w:num>
  <w:num w:numId="56">
    <w:abstractNumId w:val="8"/>
  </w:num>
  <w:num w:numId="57">
    <w:abstractNumId w:val="28"/>
  </w:num>
  <w:num w:numId="58">
    <w:abstractNumId w:val="43"/>
  </w:num>
  <w:num w:numId="59">
    <w:abstractNumId w:val="37"/>
  </w:num>
  <w:num w:numId="60">
    <w:abstractNumId w:val="58"/>
  </w:num>
  <w:num w:numId="61">
    <w:abstractNumId w:val="25"/>
  </w:num>
  <w:num w:numId="62">
    <w:abstractNumId w:val="18"/>
  </w:num>
  <w:num w:numId="63">
    <w:abstractNumId w:val="7"/>
  </w:num>
  <w:num w:numId="64">
    <w:abstractNumId w:val="61"/>
  </w:num>
  <w:num w:numId="65">
    <w:abstractNumId w:val="22"/>
  </w:num>
  <w:num w:numId="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95263"/>
    <w:rsid w:val="1079068D"/>
    <w:rsid w:val="15B8675B"/>
    <w:rsid w:val="1E6C03DB"/>
    <w:rsid w:val="253123DA"/>
    <w:rsid w:val="275802D8"/>
    <w:rsid w:val="2B5850CC"/>
    <w:rsid w:val="2BD62EFD"/>
    <w:rsid w:val="2E9C592F"/>
    <w:rsid w:val="342E1F62"/>
    <w:rsid w:val="3A726921"/>
    <w:rsid w:val="572A0298"/>
    <w:rsid w:val="59CE54CA"/>
    <w:rsid w:val="5EF3152F"/>
    <w:rsid w:val="610C47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2139</Words>
  <Characters>2201</Characters>
  <TotalTime>11</TotalTime>
  <ScaleCrop>false</ScaleCrop>
  <LinksUpToDate>false</LinksUpToDate>
  <CharactersWithSpaces>2234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2026-03-19T02:39:00Z</dcterms:created>
  <dc:creator>Apache POI</dc:creator>
  <cp:lastModifiedBy>张文倩</cp:lastModifiedBy>
  <dcterms:modified xsi:type="dcterms:W3CDTF">2026-04-04T14:04:48Z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eyJoZGlkIjoiMDgzY2VkNzBhZDE1NDA4ODcwYmI4ZDljMmZlYTk5OTIiLCJ1c2VySWQiOiI0MjYzMDM2MzMifQ==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2239EEE37C8C41C3AC515CFCE277988A_13</vt:lpwstr>
  </property>
</Properties>
</file>