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Arial Unicode MS" w:hAnsi="Arial Unicode MS" w:eastAsia="Arial Unicode MS"/>
          <w:b/>
          <w:color w:val="667085"/>
          <w:sz w:val="20"/>
        </w:rPr>
        <w:t>SALES COMMISSION DASHBOARD</w:t>
      </w:r>
    </w:p>
    <w:p>
      <w:pPr>
        <w:spacing w:before="0" w:after="80" w:line="264" w:lineRule="auto"/>
      </w:pPr>
      <w:r>
        <w:rPr>
          <w:rFonts w:ascii="Arial Unicode MS" w:hAnsi="Arial Unicode MS" w:eastAsia="Arial Unicode MS"/>
          <w:b/>
          <w:color w:val="111827"/>
          <w:sz w:val="48"/>
        </w:rPr>
        <w:t>销售佣金仪表盘设计说明</w:t>
      </w:r>
    </w:p>
    <w:p>
      <w:pPr>
        <w:spacing w:before="0" w:after="240" w:line="264" w:lineRule="auto"/>
      </w:pPr>
      <w:r>
        <w:rPr>
          <w:rFonts w:ascii="Arial Unicode MS" w:hAnsi="Arial Unicode MS" w:eastAsia="Arial Unicode MS"/>
          <w:b w:val="0"/>
          <w:color w:val="475467"/>
          <w:sz w:val="25"/>
        </w:rPr>
        <w:t>现金制佣金模型下的双视图设计：把“现在创造的绩效”和“现在到账的工资”拆开表达。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8FAFC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344054"/>
                <w:sz w:val="21"/>
              </w:rPr>
              <w:t>目标读者</w:t>
            </w:r>
          </w:p>
        </w:tc>
        <w:tc>
          <w:tcPr>
            <w:tcW w:type="dxa" w:w="7128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937"/>
                <w:sz w:val="21"/>
              </w:rPr>
              <w:t>销售代表、销售主管、财务/结算团队、产品与BI团队</w:t>
            </w:r>
          </w:p>
        </w:tc>
      </w:tr>
      <w:tr>
        <w:tc>
          <w:tcPr>
            <w:tcW w:type="dxa" w:w="1944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8FAFC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344054"/>
                <w:sz w:val="21"/>
              </w:rPr>
              <w:t>核心问题</w:t>
            </w:r>
          </w:p>
        </w:tc>
        <w:tc>
          <w:tcPr>
            <w:tcW w:type="dxa" w:w="7128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937"/>
                <w:sz w:val="21"/>
              </w:rPr>
              <w:t>现金制佣金存在时间错位：本月销售行为、本月回款、本月工资并不一定来自同一批客户活动。</w:t>
            </w:r>
          </w:p>
        </w:tc>
      </w:tr>
      <w:tr>
        <w:tc>
          <w:tcPr>
            <w:tcW w:type="dxa" w:w="1944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8FAFC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344054"/>
                <w:sz w:val="21"/>
              </w:rPr>
              <w:t>设计原则</w:t>
            </w:r>
          </w:p>
        </w:tc>
        <w:tc>
          <w:tcPr>
            <w:tcW w:type="dxa" w:w="7128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937"/>
                <w:sz w:val="21"/>
              </w:rPr>
              <w:t>必须拆分“发薪视图”和“绩效视图”，并用清晰日期替代模糊月份标签。</w:t>
            </w:r>
          </w:p>
        </w:tc>
      </w:tr>
      <w:tr>
        <w:tc>
          <w:tcPr>
            <w:tcW w:type="dxa" w:w="1944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8FAFC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344054"/>
                <w:sz w:val="21"/>
              </w:rPr>
              <w:t>输出范围</w:t>
            </w:r>
          </w:p>
        </w:tc>
        <w:tc>
          <w:tcPr>
            <w:tcW w:type="dxa" w:w="7128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937"/>
                <w:sz w:val="21"/>
              </w:rPr>
              <w:t>中文说明文档、中文仪表盘示意图、产品维度看板、佣金生命周期时间线。</w:t>
            </w:r>
          </w:p>
        </w:tc>
      </w:tr>
    </w:tbl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1. 背景：现金制佣金为什么容易误解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b w:val="0"/>
          <w:color w:val="1F2937"/>
          <w:sz w:val="22"/>
        </w:rPr>
        <w:t>现金制模型的难点在于“时间旅行”：销售在5月看到自己正在创造5月收入，但5月工资可能来自4月实际到账的现金，而这批现金又可能来自3月的客户活动。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b w:val="0"/>
          <w:color w:val="1F2937"/>
          <w:sz w:val="22"/>
        </w:rPr>
        <w:t>如果仪表盘只写“5月佣金”，销售会自然理解成“5月做出来的钱”，但财务口径可能指“5月12日发放的钱”。这两种说法都合理，却指向不同事实。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vAlign w:val="center"/>
            <w:shd w:fill="EEF4FF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75CD3"/>
                <w:sz w:val="22"/>
              </w:rPr>
              <w:t>关键结论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937"/>
                <w:sz w:val="21"/>
              </w:rPr>
              <w:t>仪表盘必须把“我现在正在创造什么”（绩效）和“我现在即将拿到什么”（钱包/发薪）完全分开，避免把活动月份、回款月份、发薪日期混在同一张图里。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2. Sales Commission Dashboard 指标口径定义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b w:val="0"/>
          <w:color w:val="1F2937"/>
          <w:sz w:val="22"/>
        </w:rPr>
        <w:t>以下口径来自产品提供的计算逻辑。文档中统一把英文指标保留在括号里，方便后续和数据表、BI字段、产品页面对齐。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E8EEF5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指标名</w:t>
            </w:r>
          </w:p>
        </w:tc>
        <w:tc>
          <w:tcPr>
            <w:tcW w:type="dxa" w:w="1944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E8EEF5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销售部门</w:t>
            </w:r>
          </w:p>
        </w:tc>
        <w:tc>
          <w:tcPr>
            <w:tcW w:type="dxa" w:w="3384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E8EEF5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计算公式 / 口径</w:t>
            </w:r>
          </w:p>
        </w:tc>
        <w:tc>
          <w:tcPr>
            <w:tcW w:type="dxa" w:w="180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E8EEF5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备注</w:t>
            </w:r>
          </w:p>
        </w:tc>
      </w:tr>
      <w:tr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Real-time processing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销售一部、销售二部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量子卡收入（充值手续费需按 consumption amount 拆分到各个渠道；排除实体卡邮寄费、月账单）+ 全球账户收入（入金、付款、汇差）。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用于实时处理收入口径。</w:t>
            </w:r>
          </w:p>
        </w:tc>
      </w:tr>
      <w:tr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Real-time processing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海外销售一部、海外销售二部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量子卡收入（排除实体卡邮寄费、月账单）+ 全球账户收入（入金、付款、汇差）+ 加密账户收入（承兑）+ 粒子理财收入。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海外团队包含加密账户与粒子理财。</w:t>
            </w:r>
          </w:p>
        </w:tc>
      </w:tr>
      <w:tr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Effective Revenue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销售一部、销售二部、海外销售一部、海外销售二部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同核心数据看板一致。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保持与核心看板口径一致。</w:t>
            </w:r>
          </w:p>
        </w:tc>
      </w:tr>
      <w:tr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Gross Profit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销售一部、销售二部、海外销售一部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同核心数据看板一致。当月总计算结果为负时按 0 处理；单客户负值不影响其他客户。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销售一部/二部新增实体卡制卡费毛利：QI卡/张 =（实际收到的制卡费 - 4）* 0.15；其余部门毛利不计实体卡。</w:t>
            </w:r>
          </w:p>
        </w:tc>
      </w:tr>
      <w:tr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Gross Profit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海外销售二部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同核心数据看板一致。单客户算出来是多少就是多少，客户之间可以互相影响。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海外销售二部不使用“当月总负数归零、单客户不影响其他客户”的同一处理方式。</w:t>
            </w:r>
          </w:p>
        </w:tc>
      </w:tr>
      <w:tr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Regular billing &amp; conditional declined fees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销售一部、销售二部、海外销售一部、海外销售二部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所有当月账单金额。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排除低消、KYC 手续费。</w:t>
            </w:r>
          </w:p>
        </w:tc>
      </w:tr>
      <w:tr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Past due Invoice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销售一部、销售二部、海外销售一部、海外销售二部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历史所有月账单在当月实际收到的金额。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排除低消、KYC 手续费。</w:t>
            </w:r>
          </w:p>
        </w:tc>
      </w:tr>
      <w:tr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Commission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销售一部、销售二部、海外销售一部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Gross Profit * Commission Rate（按客户/产品活跃天数匹配对应档位）。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最后当月总计算出来为负就为 0；单客户不影响其他客户。</w:t>
            </w:r>
          </w:p>
        </w:tc>
      </w:tr>
      <w:tr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Commission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海外销售二部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Gross Profit * Rate。直邀客户 Rate = 0.2；非直邀客户 Rate = 0.1。</w:t>
            </w:r>
          </w:p>
        </w:tc>
        <w:tc>
          <w:tcPr>
            <w:tcW w:type="dxa" w:w="23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直邀：客户邀请码与销售邀请码一致。非直邀：客户邀请码不一致、为空或其他不满足一致条件。特殊：id='0aa5962b-cecd-43d1-974e-ac181f1403e9' 的 Aliniex UAB，当 salesId='1ca4e51c-b57a-497d-a5e4-166d29ac2709'（Rob）时按直邀。</w:t>
            </w:r>
          </w:p>
        </w:tc>
      </w:tr>
    </w:tbl>
    <w:p>
      <w:pPr>
        <w:pStyle w:val="Heading2"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2.1 Commission Rate：销售一部、销售二部、海外销售一部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b w:val="0"/>
          <w:color w:val="1F2937"/>
          <w:sz w:val="22"/>
        </w:rPr>
        <w:t>以下佣金率适用于销售一部、销售二部、海外销售一部。活跃天数统一按“下个月第一天 - 对应产品激活/上线时间”计算。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32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EEF4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Product</w:t>
            </w:r>
          </w:p>
        </w:tc>
        <w:tc>
          <w:tcPr>
            <w:tcW w:type="dxa" w:w="1224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EEF4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Commission Base</w:t>
            </w:r>
          </w:p>
        </w:tc>
        <w:tc>
          <w:tcPr>
            <w:tcW w:type="dxa" w:w="979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EEF4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0-180天</w:t>
            </w:r>
          </w:p>
        </w:tc>
        <w:tc>
          <w:tcPr>
            <w:tcW w:type="dxa" w:w="1036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EEF4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181-365天</w:t>
            </w:r>
          </w:p>
        </w:tc>
        <w:tc>
          <w:tcPr>
            <w:tcW w:type="dxa" w:w="1123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EEF4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366-1095天</w:t>
            </w:r>
          </w:p>
        </w:tc>
        <w:tc>
          <w:tcPr>
            <w:tcW w:type="dxa" w:w="2476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EEF4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活跃天数取值</w:t>
            </w:r>
          </w:p>
        </w:tc>
      </w:tr>
      <w:tr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量子卡：各类手续费、虚拟卡/实体卡卡费、卡活跃月费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产品毛利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12.00%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3.60%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下个月第一天 - 客户量子卡激活时间。例：激活日 2月1日；算4月收入用 5月1日 - 2月1日，算5月收入用 6月1日 - 2月1日。</w:t>
            </w:r>
          </w:p>
        </w:tc>
      </w:tr>
      <w:tr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加密账户：承兑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产品毛利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12.00%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3.60%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下个月第一天 - 客户加密激活时间。</w:t>
            </w:r>
          </w:p>
        </w:tc>
      </w:tr>
      <w:tr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全球账户：payin、payout、fx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产品毛利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12.00%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3.60%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下个月第一天 - 客户全球账户激活时间。</w:t>
            </w:r>
          </w:p>
        </w:tc>
      </w:tr>
      <w:tr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粒子理财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产品毛利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20.00%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3.60%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下个月第一天 - 粒子理财激活时间。</w:t>
            </w:r>
          </w:p>
        </w:tc>
      </w:tr>
      <w:tr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收单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产品毛利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12.00%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3.60%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暂无销售，先不处理。</w:t>
            </w:r>
          </w:p>
        </w:tc>
      </w:tr>
      <w:tr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ScanToPay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产品毛利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12.00%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3.60%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暂无销售，先不处理。</w:t>
            </w:r>
          </w:p>
        </w:tc>
      </w:tr>
      <w:tr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API费用：一次性合规及接入费、卡面设计费、白标系统部署费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实际收费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15.00%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15.00%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15.00%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下个月第一天 - API上线时间。</w:t>
            </w:r>
          </w:p>
        </w:tc>
      </w:tr>
      <w:tr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API费用：月费（技术服务费）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实际收费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10.00%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10.00%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0.00%</w:t>
            </w:r>
          </w:p>
        </w:tc>
        <w:tc>
          <w:tcPr>
            <w:tcW w:type="dxa" w:w="156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下个月第一天 - API上线时间。</w:t>
            </w:r>
          </w:p>
        </w:tc>
      </w:tr>
    </w:tbl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3. 双视图仪表盘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b w:val="0"/>
          <w:color w:val="1F2937"/>
          <w:sz w:val="22"/>
        </w:rPr>
        <w:t>建议把销售端拆成两个并列区域或两个页签。两个视图可以共享筛选条件，但标题、指标、解释文案必须各自使用独立口径。</w:t>
      </w:r>
    </w:p>
    <w:p>
      <w:r>
        <w:drawing>
          <wp:inline xmlns:a="http://schemas.openxmlformats.org/drawingml/2006/main" xmlns:pic="http://schemas.openxmlformats.org/drawingml/2006/picture">
            <wp:extent cx="594360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文销售佣金仪表盘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 Unicode MS" w:hAnsi="Arial Unicode MS" w:eastAsia="Arial Unicode MS"/>
          <w:b w:val="0"/>
          <w:color w:val="667085"/>
          <w:sz w:val="19"/>
        </w:rPr>
        <w:t>图1：中文化的双视图佣金仪表盘示意图</w:t>
      </w:r>
    </w:p>
    <w:p>
      <w:pPr>
        <w:pStyle w:val="Heading2"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3.1 我的钱包：发薪视图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b w:val="0"/>
          <w:color w:val="1F2937"/>
          <w:sz w:val="22"/>
        </w:rPr>
        <w:t>这个视图回答“本次工资会打多少钱、为什么是这个金额”。它面向结算结果，重点是日期、回款区间和已收现金来源。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51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主标题</w:t>
            </w:r>
          </w:p>
        </w:tc>
        <w:tc>
          <w:tcPr>
            <w:tcW w:type="dxa" w:w="6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即将发放：5月12日发薪</w:t>
            </w:r>
          </w:p>
        </w:tc>
      </w:tr>
      <w:tr>
        <w:tc>
          <w:tcPr>
            <w:tcW w:type="dxa" w:w="2951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佣金合计</w:t>
            </w:r>
          </w:p>
        </w:tc>
        <w:tc>
          <w:tcPr>
            <w:tcW w:type="dxa" w:w="6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$X,XXX</w:t>
            </w:r>
          </w:p>
        </w:tc>
      </w:tr>
      <w:tr>
        <w:tc>
          <w:tcPr>
            <w:tcW w:type="dxa" w:w="2951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计算依据</w:t>
            </w:r>
          </w:p>
        </w:tc>
        <w:tc>
          <w:tcPr>
            <w:tcW w:type="dxa" w:w="6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基于4月1日 - 4月30日实际回款现金。</w:t>
            </w:r>
          </w:p>
        </w:tc>
      </w:tr>
      <w:tr>
        <w:tc>
          <w:tcPr>
            <w:tcW w:type="dxa" w:w="2951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明细来源</w:t>
            </w:r>
          </w:p>
        </w:tc>
        <w:tc>
          <w:tcPr>
            <w:tcW w:type="dxa" w:w="6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3月处理费发票、3月条件拒付费用、2月逾期发票等在4月到账的项目。</w:t>
            </w:r>
          </w:p>
        </w:tc>
      </w:tr>
      <w:tr>
        <w:tc>
          <w:tcPr>
            <w:tcW w:type="dxa" w:w="2951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用户价值</w:t>
            </w:r>
          </w:p>
        </w:tc>
        <w:tc>
          <w:tcPr>
            <w:tcW w:type="dxa" w:w="6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销售能立即知道：这次工资来自哪一批工作，而不是误以为全部来自5月活动。</w:t>
            </w:r>
          </w:p>
        </w:tc>
      </w:tr>
    </w:tbl>
    <w:p>
      <w:pPr>
        <w:pStyle w:val="Heading2"/>
        <w:spacing w:before="240" w:after="120"/>
      </w:pPr>
      <w:r>
        <w:rPr>
          <w:rFonts w:ascii="Arial Unicode MS" w:hAnsi="Arial Unicode MS" w:eastAsia="Arial Unicode MS"/>
          <w:b/>
          <w:color w:val="2E74B5"/>
          <w:sz w:val="26"/>
        </w:rPr>
        <w:t>3.2 我的绩效：活动视图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b w:val="0"/>
          <w:color w:val="1F2937"/>
          <w:sz w:val="22"/>
        </w:rPr>
        <w:t>这个视图回答“我本月正在创造多少有效收入和毛利”。它面向经营动作，即使这些收入还没有开票、回款，也应被清楚标记为当前绩效。</w:t>
      </w:r>
    </w:p>
    <w:p>
      <w:pPr>
        <w:pStyle w:val="ListBullet"/>
        <w:spacing w:before="0" w:after="80" w:line="264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标题：5月至今（MTD）绩效。</w:t>
      </w:r>
    </w:p>
    <w:p>
      <w:pPr>
        <w:pStyle w:val="ListBullet"/>
        <w:spacing w:before="0" w:after="80" w:line="264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核心指标：累计有效收入、毛利（GP）、预计佣金。</w:t>
      </w:r>
    </w:p>
    <w:p>
      <w:pPr>
        <w:pStyle w:val="ListBullet"/>
        <w:spacing w:before="0" w:after="80" w:line="264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状态标签：当前未开票，说明5月账单通常要到6月才发出。</w:t>
      </w:r>
    </w:p>
    <w:p>
      <w:pPr>
        <w:pStyle w:val="ListBullet"/>
        <w:spacing w:before="0" w:after="80" w:line="264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管道组件：显示6月12日、7月12日等未来发薪预估，让销售知道后续资金流向。</w:t>
      </w: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4. 产品维度绩效看板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b w:val="0"/>
          <w:color w:val="1F2937"/>
          <w:sz w:val="22"/>
        </w:rPr>
        <w:t>销售绩效页还需要按产品拆分有效收入与交易量。产品表建议只展示绩效口径，发薪金额放在钱包页，避免销售把“产品贡献”误读成“本月到账工资”。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产品维度看板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 Unicode MS" w:hAnsi="Arial Unicode MS" w:eastAsia="Arial Unicode MS"/>
          <w:b w:val="0"/>
          <w:color w:val="667085"/>
          <w:sz w:val="19"/>
        </w:rPr>
        <w:t>图2：产品维度收入与交易量看板示意图</w:t>
      </w: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5. 佣金生命周期时间线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b w:val="0"/>
          <w:color w:val="1F2937"/>
          <w:sz w:val="22"/>
        </w:rPr>
        <w:t>为了让销售团队快速理解现金制佣金，可以把下面的生命周期表做成仪表盘里的提示卡、问号说明或帮助中心短文。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佣金生命周期时间线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 Unicode MS" w:hAnsi="Arial Unicode MS" w:eastAsia="Arial Unicode MS"/>
          <w:b w:val="0"/>
          <w:color w:val="667085"/>
          <w:sz w:val="19"/>
        </w:rPr>
        <w:t>图3：活动月份、回款日期与发薪日期的对应关系</w:t>
      </w: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6. UI命名规则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vAlign w:val="center"/>
            <w:shd w:fill="FFF7E6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B54708"/>
                <w:sz w:val="22"/>
              </w:rPr>
              <w:t>黄金规则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937"/>
                <w:sz w:val="21"/>
              </w:rPr>
              <w:t>永远不要只写“5月佣金”。现金到账场景写“5月12日发薪”；绩效经营场景写“5月毛利”或“5月至今绩效”。</w:t>
            </w:r>
          </w:p>
        </w:tc>
      </w:tr>
    </w:tbl>
    <w:p>
      <w:pPr>
        <w:spacing w:before="0" w:after="8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不要使用</w:t>
            </w:r>
          </w:p>
        </w:tc>
        <w:tc>
          <w:tcPr>
            <w:tcW w:type="dxa" w:w="324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推荐使用</w:t>
            </w:r>
          </w:p>
        </w:tc>
        <w:tc>
          <w:tcPr>
            <w:tcW w:type="dxa" w:w="3311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E8EEF5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适用场景</w:t>
            </w:r>
          </w:p>
        </w:tc>
      </w:tr>
      <w:tr>
        <w:tc>
          <w:tcPr>
            <w:tcW w:type="dxa" w:w="3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5月佣金</w:t>
            </w:r>
          </w:p>
        </w:tc>
        <w:tc>
          <w:tcPr>
            <w:tcW w:type="dxa" w:w="3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5月12日发薪</w:t>
            </w:r>
          </w:p>
        </w:tc>
        <w:tc>
          <w:tcPr>
            <w:tcW w:type="dxa" w:w="3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钱包/工资到账</w:t>
            </w:r>
          </w:p>
        </w:tc>
      </w:tr>
      <w:tr>
        <w:tc>
          <w:tcPr>
            <w:tcW w:type="dxa" w:w="3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本月佣金</w:t>
            </w:r>
          </w:p>
        </w:tc>
        <w:tc>
          <w:tcPr>
            <w:tcW w:type="dxa" w:w="3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5月至今绩效</w:t>
            </w:r>
          </w:p>
        </w:tc>
        <w:tc>
          <w:tcPr>
            <w:tcW w:type="dxa" w:w="3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销售活动与经营表现</w:t>
            </w:r>
          </w:p>
        </w:tc>
      </w:tr>
      <w:tr>
        <w:tc>
          <w:tcPr>
            <w:tcW w:type="dxa" w:w="3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待支付佣金</w:t>
            </w:r>
          </w:p>
        </w:tc>
        <w:tc>
          <w:tcPr>
            <w:tcW w:type="dxa" w:w="3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>6月12日预计发薪</w:t>
            </w:r>
          </w:p>
        </w:tc>
        <w:tc>
          <w:tcPr>
            <w:tcW w:type="dxa" w:w="3120"/>
            <w:tcBorders>
              <w:top w:val="single" w:sz="8" w:space="0" w:color="DADDE5"/>
              <w:left w:val="single" w:sz="8" w:space="0" w:color="DADDE5"/>
              <w:bottom w:val="single" w:sz="8" w:space="0" w:color="DADDE5"/>
              <w:right w:val="single" w:sz="8" w:space="0" w:color="DADDE5"/>
            </w:tcBorders>
            <w:shd w:fill="FFFFFF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21"/>
              </w:rPr>
              <w:t>佣金管道与预测</w:t>
            </w:r>
          </w:p>
        </w:tc>
      </w:tr>
    </w:tbl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7. 落地清单</w:t>
      </w:r>
    </w:p>
    <w:p>
      <w:pPr>
        <w:pStyle w:val="ListBullet"/>
        <w:spacing w:before="0" w:after="80" w:line="264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销售登录后默认看到两个清晰入口：我的钱包、我的绩效。</w:t>
      </w:r>
    </w:p>
    <w:p>
      <w:pPr>
        <w:pStyle w:val="ListBullet"/>
        <w:spacing w:before="0" w:after="80" w:line="264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每个金额旁边必须展示口径：回款区间、活动月份、是否已开票、是否已发薪。</w:t>
      </w:r>
    </w:p>
    <w:p>
      <w:pPr>
        <w:pStyle w:val="ListBullet"/>
        <w:spacing w:before="0" w:after="80" w:line="264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产品维度只承载有效收入、毛利、交易量等绩效指标。</w:t>
      </w:r>
    </w:p>
    <w:p>
      <w:pPr>
        <w:pStyle w:val="ListBullet"/>
        <w:spacing w:before="0" w:after="80" w:line="264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佣金管道展示未来发薪日期，并说明基于哪一段活动或回款。</w:t>
      </w:r>
    </w:p>
    <w:p>
      <w:pPr>
        <w:pStyle w:val="ListBullet"/>
        <w:spacing w:before="0" w:after="80" w:line="264" w:lineRule="auto"/>
      </w:pPr>
      <w:r>
        <w:rPr>
          <w:rFonts w:ascii="Arial Unicode MS" w:hAnsi="Arial Unicode MS" w:eastAsia="Arial Unicode MS"/>
          <w:b w:val="0"/>
          <w:color w:val="1F2937"/>
          <w:sz w:val="21"/>
        </w:rPr>
        <w:t>所有截图、帮助文案、提示气泡统一使用中文口径命名。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98A2B3"/>
        <w:sz w:val="18"/>
      </w:rPr>
      <w:t>Confidential - Internal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67085"/>
        <w:sz w:val="18"/>
      </w:rPr>
      <w:t>销售佣金仪表盘设计说明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