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5074"/>
        <w:gridCol w:w="5074"/>
      </w:tblGrid>
      <w:tr>
        <w:tc>
          <w:tcPr>
            <w:tcW w:type="dxa" w:w="7710"/>
            <w:vAlign w:val="center"/>
          </w:tcPr>
          <w:p>
            <w:pPr>
              <w:spacing w:after="32" w:line="420" w:lineRule="exact"/>
            </w:pPr>
            <w:r>
              <w:rPr>
                <w:rFonts w:ascii="Helvetica Neue" w:hAnsi="Helvetica Neue" w:eastAsia="PingFang SC"/>
                <w:b/>
                <w:i w:val="0"/>
                <w:color w:val="000000"/>
                <w:sz w:val="34"/>
              </w:rPr>
              <w:t>张三</w:t>
            </w:r>
            <w:r>
              <w:rPr>
                <w:rFonts w:ascii="Helvetica Neue" w:hAnsi="Helvetica Neue" w:eastAsia="PingFang SC"/>
                <w:b w:val="0"/>
                <w:i w:val="0"/>
                <w:color w:val="404040"/>
                <w:sz w:val="19"/>
              </w:rPr>
              <w:t xml:space="preserve">   ZHANG SAN</w:t>
            </w:r>
          </w:p>
          <w:p>
            <w:pPr>
              <w:spacing w:before="0" w:after="10" w:line="248" w:lineRule="exact"/>
            </w:pPr>
            <w:r>
              <w:rPr>
                <w:rFonts w:ascii="Helvetica Neue" w:hAnsi="Helvetica Neue" w:eastAsia="PingFang SC"/>
                <w:b w:val="0"/>
                <w:i w:val="0"/>
                <w:color w:val="404040"/>
                <w:sz w:val="18"/>
              </w:rPr>
              <w:t>电话 138-0000-0000　｜　邮箱 zhangsan@example.com</w:t>
            </w:r>
          </w:p>
          <w:p>
            <w:pPr>
              <w:spacing w:before="0" w:after="10" w:line="248" w:lineRule="exact"/>
            </w:pPr>
            <w:r>
              <w:rPr>
                <w:rFonts w:ascii="Helvetica Neue" w:hAnsi="Helvetica Neue" w:eastAsia="PingFang SC"/>
                <w:b/>
                <w:i w:val="0"/>
                <w:color w:val="000000"/>
                <w:sz w:val="18"/>
              </w:rPr>
              <w:t>求职意向：管理培训生（金融市场方向）</w:t>
            </w:r>
          </w:p>
          <w:p>
            <w:pPr>
              <w:spacing w:before="0" w:after="10" w:line="248" w:lineRule="exact"/>
            </w:pPr>
            <w:r>
              <w:rPr>
                <w:rFonts w:ascii="Helvetica Neue" w:hAnsi="Helvetica Neue" w:eastAsia="PingFang SC"/>
                <w:b w:val="0"/>
                <w:i w:val="0"/>
                <w:color w:val="404040"/>
                <w:sz w:val="18"/>
              </w:rPr>
              <w:t>2025 年 12 月获学位，可即刻到岗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56000" cy="10802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to_1inch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000" cy="1080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68" w:after="28" w:line="260" w:lineRule="exact"/>
        <w:pBdr>
          <w:bottom w:val="single" w:sz="6" w:space="2" w:color="808080"/>
        </w:pBdr>
      </w:pPr>
      <w:r>
        <w:rPr>
          <w:rFonts w:ascii="Helvetica Neue" w:hAnsi="Helvetica Neue" w:eastAsia="PingFang SC"/>
          <w:b/>
          <w:i w:val="0"/>
          <w:color w:val="000000"/>
          <w:sz w:val="21"/>
        </w:rPr>
        <w:t>教育经历</w:t>
      </w:r>
    </w:p>
    <w:p>
      <w:pPr>
        <w:keepNext/>
        <w:tabs>
          <w:tab w:pos="10148" w:val="right"/>
        </w:tabs>
        <w:spacing w:before="8" w:after="12" w:line="248" w:lineRule="exact"/>
      </w:pPr>
      <w:r>
        <w:rPr>
          <w:rFonts w:ascii="Helvetica Neue" w:hAnsi="Helvetica Neue" w:eastAsia="PingFang SC"/>
          <w:b/>
          <w:i w:val="0"/>
          <w:color w:val="000000"/>
          <w:sz w:val="20"/>
        </w:rPr>
        <w:t>某大学 商学院</w:t>
      </w:r>
      <w:r>
        <w:rPr>
          <w:rFonts w:ascii="Helvetica Neue" w:hAnsi="Helvetica Neue" w:eastAsia="PingFang SC"/>
          <w:b/>
          <w:i w:val="0"/>
          <w:color w:val="000000"/>
          <w:sz w:val="19"/>
        </w:rPr>
        <w:t xml:space="preserve">　工商管理 理学学士（金融学方向）（GPA 3.5 / 4.0）</w:t>
      </w:r>
      <w:r>
        <w:rPr>
          <w:rFonts w:ascii="Helvetica Neue" w:hAnsi="Helvetica Neue" w:eastAsia="PingFang SC"/>
          <w:b w:val="0"/>
          <w:i w:val="0"/>
          <w:color w:val="404040"/>
          <w:sz w:val="18"/>
        </w:rPr>
        <w:tab/>
        <w:t>2020.08 - 2025.12</w:t>
      </w:r>
    </w:p>
    <w:p>
      <w:pPr>
        <w:keepLines/>
        <w:spacing w:before="0" w:after="10" w:line="264" w:lineRule="exact"/>
        <w:ind w:left="272" w:hanging="272"/>
      </w:pPr>
      <w:r>
        <w:rPr>
          <w:rFonts w:ascii="Helvetica Neue" w:hAnsi="Helvetica Neue" w:eastAsia="PingFang SC"/>
          <w:b w:val="0"/>
          <w:i w:val="0"/>
          <w:color w:val="000000"/>
          <w:sz w:val="20"/>
        </w:rPr>
        <w:t xml:space="preserve">•  </w:t>
      </w:r>
      <w:r>
        <w:rPr>
          <w:rFonts w:ascii="Helvetica Neue" w:hAnsi="Helvetica Neue" w:eastAsia="PingFang SC"/>
          <w:b/>
          <w:i w:val="0"/>
          <w:color w:val="000000"/>
          <w:sz w:val="20"/>
        </w:rPr>
        <w:t>主修课程：</w:t>
      </w:r>
      <w:r>
        <w:rPr>
          <w:rFonts w:ascii="Helvetica Neue" w:hAnsi="Helvetica Neue" w:eastAsia="PingFang SC"/>
          <w:b w:val="0"/>
          <w:i w:val="0"/>
          <w:color w:val="000000"/>
          <w:sz w:val="20"/>
        </w:rPr>
        <w:t>会计学原理（I、II）、财务建模与市场分析、金融风险管理与投资分析、固定收益、国际金融、公司金融</w:t>
      </w:r>
    </w:p>
    <w:p>
      <w:pPr>
        <w:keepLines/>
        <w:spacing w:before="0" w:after="10" w:line="264" w:lineRule="exact"/>
        <w:ind w:left="272" w:hanging="272"/>
      </w:pPr>
      <w:r>
        <w:rPr>
          <w:rFonts w:ascii="Helvetica Neue" w:hAnsi="Helvetica Neue" w:eastAsia="PingFang SC"/>
          <w:b w:val="0"/>
          <w:i w:val="0"/>
          <w:color w:val="000000"/>
          <w:sz w:val="20"/>
        </w:rPr>
        <w:t xml:space="preserve">•  </w:t>
      </w:r>
      <w:r>
        <w:rPr>
          <w:rFonts w:ascii="Helvetica Neue" w:hAnsi="Helvetica Neue" w:eastAsia="PingFang SC"/>
          <w:b/>
          <w:i w:val="0"/>
          <w:color w:val="000000"/>
          <w:sz w:val="20"/>
        </w:rPr>
        <w:t>荣誉：</w:t>
      </w:r>
      <w:r>
        <w:rPr>
          <w:rFonts w:ascii="Helvetica Neue" w:hAnsi="Helvetica Neue" w:eastAsia="PingFang SC"/>
          <w:b w:val="0"/>
          <w:i w:val="0"/>
          <w:color w:val="000000"/>
          <w:sz w:val="20"/>
        </w:rPr>
        <w:t>院长名单（示例）、校级优秀毕业生</w:t>
      </w:r>
    </w:p>
    <w:p>
      <w:pPr>
        <w:keepNext/>
        <w:spacing w:before="80" w:after="28" w:line="260" w:lineRule="exact"/>
        <w:pBdr>
          <w:bottom w:val="single" w:sz="6" w:space="2" w:color="808080"/>
        </w:pBdr>
      </w:pPr>
      <w:r>
        <w:rPr>
          <w:rFonts w:ascii="Helvetica Neue" w:hAnsi="Helvetica Neue" w:eastAsia="PingFang SC"/>
          <w:b/>
          <w:i w:val="0"/>
          <w:color w:val="000000"/>
          <w:sz w:val="21"/>
        </w:rPr>
        <w:t>实习经历</w:t>
      </w:r>
    </w:p>
    <w:p>
      <w:pPr>
        <w:keepNext/>
        <w:tabs>
          <w:tab w:pos="10148" w:val="right"/>
        </w:tabs>
        <w:spacing w:before="8" w:after="12" w:line="248" w:lineRule="exact"/>
      </w:pPr>
      <w:r>
        <w:rPr>
          <w:rFonts w:ascii="Helvetica Neue" w:hAnsi="Helvetica Neue" w:eastAsia="PingFang SC"/>
          <w:b/>
          <w:i w:val="0"/>
          <w:color w:val="000000"/>
          <w:sz w:val="20"/>
        </w:rPr>
        <w:t>某资产管理公司</w:t>
      </w:r>
      <w:r>
        <w:rPr>
          <w:rFonts w:ascii="Helvetica Neue" w:hAnsi="Helvetica Neue" w:eastAsia="PingFang SC"/>
          <w:b/>
          <w:i w:val="0"/>
          <w:color w:val="000000"/>
          <w:sz w:val="19"/>
        </w:rPr>
        <w:t xml:space="preserve">　暑期分析师（Business Finance）　纽约, NY</w:t>
      </w:r>
      <w:r>
        <w:rPr>
          <w:rFonts w:ascii="Helvetica Neue" w:hAnsi="Helvetica Neue" w:eastAsia="PingFang SC"/>
          <w:b w:val="0"/>
          <w:i w:val="0"/>
          <w:color w:val="404040"/>
          <w:sz w:val="18"/>
        </w:rPr>
        <w:tab/>
        <w:t>2025.06 - 2025.08</w:t>
      </w:r>
    </w:p>
    <w:p>
      <w:pPr>
        <w:keepLines/>
        <w:spacing w:before="0" w:after="10" w:line="264" w:lineRule="exact"/>
        <w:ind w:left="272" w:hanging="272"/>
      </w:pPr>
      <w:r>
        <w:rPr>
          <w:rFonts w:ascii="Helvetica Neue" w:hAnsi="Helvetica Neue" w:eastAsia="PingFang SC"/>
          <w:b w:val="0"/>
          <w:i w:val="0"/>
          <w:color w:val="000000"/>
          <w:sz w:val="20"/>
        </w:rPr>
        <w:t xml:space="preserve">•  </w:t>
      </w:r>
      <w:r>
        <w:rPr>
          <w:rFonts w:ascii="Helvetica Neue" w:hAnsi="Helvetica Neue" w:eastAsia="PingFang SC"/>
          <w:b/>
          <w:i w:val="0"/>
          <w:color w:val="000000"/>
          <w:sz w:val="20"/>
        </w:rPr>
        <w:t>管理报表与预实差异：</w:t>
      </w:r>
      <w:r>
        <w:rPr>
          <w:rFonts w:ascii="Helvetica Neue" w:hAnsi="Helvetica Neue" w:eastAsia="PingFang SC"/>
          <w:b w:val="0"/>
          <w:i w:val="0"/>
          <w:color w:val="000000"/>
          <w:sz w:val="20"/>
        </w:rPr>
        <w:t>编制 8 个业务单元的月度收入、费用报表及预算 / 实际差异表（年度费用底数约 $300M），将差异下钻至科目与业务动因，识别偏离历史区间的科目</w:t>
      </w:r>
    </w:p>
    <w:p>
      <w:pPr>
        <w:keepLines/>
        <w:spacing w:before="0" w:after="10" w:line="264" w:lineRule="exact"/>
        <w:ind w:left="272" w:hanging="272"/>
      </w:pPr>
      <w:r>
        <w:rPr>
          <w:rFonts w:ascii="Helvetica Neue" w:hAnsi="Helvetica Neue" w:eastAsia="PingFang SC"/>
          <w:b w:val="0"/>
          <w:i w:val="0"/>
          <w:color w:val="000000"/>
          <w:sz w:val="20"/>
        </w:rPr>
        <w:t xml:space="preserve">•  </w:t>
      </w:r>
      <w:r>
        <w:rPr>
          <w:rFonts w:ascii="Helvetica Neue" w:hAnsi="Helvetica Neue" w:eastAsia="PingFang SC"/>
          <w:b/>
          <w:i w:val="0"/>
          <w:color w:val="000000"/>
          <w:sz w:val="20"/>
        </w:rPr>
        <w:t>预算与预测：</w:t>
      </w:r>
      <w:r>
        <w:rPr>
          <w:rFonts w:ascii="Helvetica Neue" w:hAnsi="Helvetica Neue" w:eastAsia="PingFang SC"/>
          <w:b w:val="0"/>
          <w:i w:val="0"/>
          <w:color w:val="000000"/>
          <w:sz w:val="20"/>
        </w:rPr>
        <w:t>维护 3 套收入与费用预测模型（驱动因子：人数、业务量、费率），输出三档情景与敏感性结果，支撑季度预算与业务规划</w:t>
      </w:r>
    </w:p>
    <w:p>
      <w:pPr>
        <w:keepLines/>
        <w:spacing w:before="0" w:after="10" w:line="264" w:lineRule="exact"/>
        <w:ind w:left="272" w:hanging="272"/>
      </w:pPr>
      <w:r>
        <w:rPr>
          <w:rFonts w:ascii="Helvetica Neue" w:hAnsi="Helvetica Neue" w:eastAsia="PingFang SC"/>
          <w:b w:val="0"/>
          <w:i w:val="0"/>
          <w:color w:val="000000"/>
          <w:sz w:val="20"/>
        </w:rPr>
        <w:t xml:space="preserve">•  </w:t>
      </w:r>
      <w:r>
        <w:rPr>
          <w:rFonts w:ascii="Helvetica Neue" w:hAnsi="Helvetica Neue" w:eastAsia="PingFang SC"/>
          <w:b/>
          <w:i w:val="0"/>
          <w:color w:val="000000"/>
          <w:sz w:val="20"/>
        </w:rPr>
        <w:t>费用与供应商分析：</w:t>
      </w:r>
      <w:r>
        <w:rPr>
          <w:rFonts w:ascii="Helvetica Neue" w:hAnsi="Helvetica Neue" w:eastAsia="PingFang SC"/>
          <w:b w:val="0"/>
          <w:i w:val="0"/>
          <w:color w:val="000000"/>
          <w:sz w:val="20"/>
        </w:rPr>
        <w:t>按供应商、合同类别与费用类型拆分支出并与预算比对，输出支出集中度与议价空间分析</w:t>
      </w:r>
    </w:p>
    <w:p>
      <w:pPr>
        <w:keepLines/>
        <w:spacing w:before="0" w:after="10" w:line="264" w:lineRule="exact"/>
        <w:ind w:left="272" w:hanging="272"/>
      </w:pPr>
      <w:r>
        <w:rPr>
          <w:rFonts w:ascii="Helvetica Neue" w:hAnsi="Helvetica Neue" w:eastAsia="PingFang SC"/>
          <w:b w:val="0"/>
          <w:i w:val="0"/>
          <w:color w:val="000000"/>
          <w:sz w:val="20"/>
        </w:rPr>
        <w:t xml:space="preserve">•  </w:t>
      </w:r>
      <w:r>
        <w:rPr>
          <w:rFonts w:ascii="Helvetica Neue" w:hAnsi="Helvetica Neue" w:eastAsia="PingFang SC"/>
          <w:b/>
          <w:i w:val="0"/>
          <w:color w:val="000000"/>
          <w:sz w:val="20"/>
        </w:rPr>
        <w:t>月度关账：</w:t>
      </w:r>
      <w:r>
        <w:rPr>
          <w:rFonts w:ascii="Helvetica Neue" w:hAnsi="Helvetica Neue" w:eastAsia="PingFang SC"/>
          <w:b w:val="0"/>
          <w:i w:val="0"/>
          <w:color w:val="000000"/>
          <w:sz w:val="20"/>
        </w:rPr>
        <w:t>核对 5,000+ 行明细账并完成跨表勾稽（覆盖 6–8 月共 3 个结账周期），定位差异成因；例外项按科目错配、缺凭证、期间归属分类后提交经理复核</w:t>
      </w:r>
    </w:p>
    <w:p>
      <w:pPr>
        <w:keepLines/>
        <w:spacing w:before="0" w:after="10" w:line="264" w:lineRule="exact"/>
        <w:ind w:left="272" w:hanging="272"/>
      </w:pPr>
      <w:r>
        <w:rPr>
          <w:rFonts w:ascii="Helvetica Neue" w:hAnsi="Helvetica Neue" w:eastAsia="PingFang SC"/>
          <w:b w:val="0"/>
          <w:i w:val="0"/>
          <w:color w:val="000000"/>
          <w:sz w:val="20"/>
        </w:rPr>
        <w:t xml:space="preserve">•  </w:t>
      </w:r>
      <w:r>
        <w:rPr>
          <w:rFonts w:ascii="Helvetica Neue" w:hAnsi="Helvetica Neue" w:eastAsia="PingFang SC"/>
          <w:b/>
          <w:i w:val="0"/>
          <w:color w:val="000000"/>
          <w:sz w:val="20"/>
        </w:rPr>
        <w:t>流程与工具提效：</w:t>
      </w:r>
      <w:r>
        <w:rPr>
          <w:rFonts w:ascii="Helvetica Neue" w:hAnsi="Helvetica Neue" w:eastAsia="PingFang SC"/>
          <w:b w:val="0"/>
          <w:i w:val="0"/>
          <w:color w:val="000000"/>
          <w:sz w:val="20"/>
        </w:rPr>
        <w:t>用 Power Query 重构周期性核对与供应商分析并沉淀为团队模板，单轮工时由 4 小时降至约 2 小时；以邮件＋一页纸备忘录向经理汇报差异与建议（仅限内部数据）</w:t>
      </w:r>
    </w:p>
    <w:p>
      <w:pPr>
        <w:keepNext/>
        <w:tabs>
          <w:tab w:pos="10148" w:val="right"/>
        </w:tabs>
        <w:spacing w:before="80" w:after="12" w:line="248" w:lineRule="exact"/>
      </w:pPr>
      <w:r>
        <w:rPr>
          <w:rFonts w:ascii="Helvetica Neue" w:hAnsi="Helvetica Neue" w:eastAsia="PingFang SC"/>
          <w:b/>
          <w:i w:val="0"/>
          <w:color w:val="000000"/>
          <w:sz w:val="20"/>
        </w:rPr>
        <w:t>某全国性银行</w:t>
      </w:r>
      <w:r>
        <w:rPr>
          <w:rFonts w:ascii="Helvetica Neue" w:hAnsi="Helvetica Neue" w:eastAsia="PingFang SC"/>
          <w:b/>
          <w:i w:val="0"/>
          <w:color w:val="000000"/>
          <w:sz w:val="19"/>
        </w:rPr>
        <w:t xml:space="preserve">　消费者金融实习生（区域银行运营）　哥伦布, OH</w:t>
      </w:r>
      <w:r>
        <w:rPr>
          <w:rFonts w:ascii="Helvetica Neue" w:hAnsi="Helvetica Neue" w:eastAsia="PingFang SC"/>
          <w:b w:val="0"/>
          <w:i w:val="0"/>
          <w:color w:val="404040"/>
          <w:sz w:val="18"/>
        </w:rPr>
        <w:tab/>
        <w:t>2024.05 - 2024.07</w:t>
      </w:r>
    </w:p>
    <w:p>
      <w:pPr>
        <w:keepLines/>
        <w:spacing w:before="0" w:after="10" w:line="264" w:lineRule="exact"/>
        <w:ind w:left="272" w:hanging="272"/>
      </w:pPr>
      <w:r>
        <w:rPr>
          <w:rFonts w:ascii="Helvetica Neue" w:hAnsi="Helvetica Neue" w:eastAsia="PingFang SC"/>
          <w:b w:val="0"/>
          <w:i w:val="0"/>
          <w:color w:val="000000"/>
          <w:sz w:val="20"/>
        </w:rPr>
        <w:t xml:space="preserve">•  </w:t>
      </w:r>
      <w:r>
        <w:rPr>
          <w:rFonts w:ascii="Helvetica Neue" w:hAnsi="Helvetica Neue" w:eastAsia="PingFang SC"/>
          <w:b/>
          <w:i w:val="0"/>
          <w:color w:val="000000"/>
          <w:sz w:val="20"/>
        </w:rPr>
        <w:t>定价与组合监控：</w:t>
      </w:r>
      <w:r>
        <w:rPr>
          <w:rFonts w:ascii="Helvetica Neue" w:hAnsi="Helvetica Neue" w:eastAsia="PingFang SC"/>
          <w:b w:val="0"/>
          <w:i w:val="0"/>
          <w:color w:val="000000"/>
          <w:sz w:val="20"/>
        </w:rPr>
        <w:t>在给定资金与风险成本假设下测算 3 档定价方案的利差与盈亏平衡点并做 ±25 bp 敏感性测试；按月跟踪组合规模、加权利率与逾期率走势</w:t>
      </w:r>
    </w:p>
    <w:p>
      <w:pPr>
        <w:keepLines/>
        <w:spacing w:before="0" w:after="10" w:line="264" w:lineRule="exact"/>
        <w:ind w:left="272" w:hanging="272"/>
      </w:pPr>
      <w:r>
        <w:rPr>
          <w:rFonts w:ascii="Helvetica Neue" w:hAnsi="Helvetica Neue" w:eastAsia="PingFang SC"/>
          <w:b w:val="0"/>
          <w:i w:val="0"/>
          <w:color w:val="000000"/>
          <w:sz w:val="20"/>
        </w:rPr>
        <w:t xml:space="preserve">•  </w:t>
      </w:r>
      <w:r>
        <w:rPr>
          <w:rFonts w:ascii="Helvetica Neue" w:hAnsi="Helvetica Neue" w:eastAsia="PingFang SC"/>
          <w:b/>
          <w:i w:val="0"/>
          <w:color w:val="000000"/>
          <w:sz w:val="20"/>
        </w:rPr>
        <w:t>客户与市场洞察：</w:t>
      </w:r>
      <w:r>
        <w:rPr>
          <w:rFonts w:ascii="Helvetica Neue" w:hAnsi="Helvetica Neue" w:eastAsia="PingFang SC"/>
          <w:b w:val="0"/>
          <w:i w:val="0"/>
          <w:color w:val="000000"/>
          <w:sz w:val="20"/>
        </w:rPr>
        <w:t>整理 400+ 条客户反馈与咨询记录并归纳高频问题；对比 6 家同业产品条款与定价区间，输出优势项与差距项</w:t>
      </w:r>
    </w:p>
    <w:p>
      <w:pPr>
        <w:keepLines/>
        <w:spacing w:before="0" w:after="10" w:line="264" w:lineRule="exact"/>
        <w:ind w:left="272" w:hanging="272"/>
      </w:pPr>
      <w:r>
        <w:rPr>
          <w:rFonts w:ascii="Helvetica Neue" w:hAnsi="Helvetica Neue" w:eastAsia="PingFang SC"/>
          <w:b w:val="0"/>
          <w:i w:val="0"/>
          <w:color w:val="000000"/>
          <w:sz w:val="20"/>
        </w:rPr>
        <w:t xml:space="preserve">•  </w:t>
      </w:r>
      <w:r>
        <w:rPr>
          <w:rFonts w:ascii="Helvetica Neue" w:hAnsi="Helvetica Neue" w:eastAsia="PingFang SC"/>
          <w:b/>
          <w:i w:val="0"/>
          <w:color w:val="000000"/>
          <w:sz w:val="20"/>
        </w:rPr>
        <w:t>风险评级：</w:t>
      </w:r>
      <w:r>
        <w:rPr>
          <w:rFonts w:ascii="Helvetica Neue" w:hAnsi="Helvetica Neue" w:eastAsia="PingFang SC"/>
          <w:b w:val="0"/>
          <w:i w:val="0"/>
          <w:color w:val="000000"/>
          <w:sz w:val="20"/>
        </w:rPr>
        <w:t>按内部风险分级表对 300+ 笔存量贷款做初评，交叉核验逾期天数、还款记录与抵押信息，识别评级与实际表现偏离的账户，形成月度资产质量台账</w:t>
      </w:r>
    </w:p>
    <w:p>
      <w:pPr>
        <w:keepLines/>
        <w:spacing w:before="0" w:after="10" w:line="264" w:lineRule="exact"/>
        <w:ind w:left="272" w:hanging="272"/>
      </w:pPr>
      <w:r>
        <w:rPr>
          <w:rFonts w:ascii="Helvetica Neue" w:hAnsi="Helvetica Neue" w:eastAsia="PingFang SC"/>
          <w:b w:val="0"/>
          <w:i w:val="0"/>
          <w:color w:val="000000"/>
          <w:sz w:val="20"/>
        </w:rPr>
        <w:t xml:space="preserve">•  </w:t>
      </w:r>
      <w:r>
        <w:rPr>
          <w:rFonts w:ascii="Helvetica Neue" w:hAnsi="Helvetica Neue" w:eastAsia="PingFang SC"/>
          <w:b/>
          <w:i w:val="0"/>
          <w:color w:val="000000"/>
          <w:sz w:val="20"/>
        </w:rPr>
        <w:t>授信分析与核保支持：</w:t>
      </w:r>
      <w:r>
        <w:rPr>
          <w:rFonts w:ascii="Helvetica Neue" w:hAnsi="Helvetica Neue" w:eastAsia="PingFang SC"/>
          <w:b w:val="0"/>
          <w:i w:val="0"/>
          <w:color w:val="000000"/>
          <w:sz w:val="20"/>
        </w:rPr>
        <w:t>按授信口径归集 250+ 笔消费与车贷申请核心指标（收入、DTI、LTV、信用评分区间），核对材料完整性与口径一致性并输出待补件清单；将 60+ 笔例外审批归为政策执行对照表</w:t>
      </w:r>
    </w:p>
    <w:p>
      <w:pPr>
        <w:keepNext/>
        <w:spacing w:before="80" w:after="28" w:line="260" w:lineRule="exact"/>
        <w:pBdr>
          <w:bottom w:val="single" w:sz="6" w:space="2" w:color="808080"/>
        </w:pBdr>
      </w:pPr>
      <w:r>
        <w:rPr>
          <w:rFonts w:ascii="Helvetica Neue" w:hAnsi="Helvetica Neue" w:eastAsia="PingFang SC"/>
          <w:b/>
          <w:i w:val="0"/>
          <w:color w:val="000000"/>
          <w:sz w:val="21"/>
        </w:rPr>
        <w:t>项目经历</w:t>
      </w:r>
    </w:p>
    <w:p>
      <w:pPr>
        <w:keepNext/>
        <w:tabs>
          <w:tab w:pos="10148" w:val="right"/>
        </w:tabs>
        <w:spacing w:before="8" w:after="12" w:line="248" w:lineRule="exact"/>
      </w:pPr>
      <w:r>
        <w:rPr>
          <w:rFonts w:ascii="Helvetica Neue" w:hAnsi="Helvetica Neue" w:eastAsia="PingFang SC"/>
          <w:b/>
          <w:i w:val="0"/>
          <w:color w:val="000000"/>
          <w:sz w:val="20"/>
        </w:rPr>
        <w:t>麦当劳外汇风险敞口分析</w:t>
      </w:r>
      <w:r>
        <w:rPr>
          <w:rFonts w:ascii="Helvetica Neue" w:hAnsi="Helvetica Neue" w:eastAsia="PingFang SC"/>
          <w:b/>
          <w:i w:val="0"/>
          <w:color w:val="000000"/>
          <w:sz w:val="19"/>
        </w:rPr>
        <w:t xml:space="preserve">　小组负责人</w:t>
      </w:r>
      <w:r>
        <w:rPr>
          <w:rFonts w:ascii="Helvetica Neue" w:hAnsi="Helvetica Neue" w:eastAsia="PingFang SC"/>
          <w:b w:val="0"/>
          <w:i w:val="0"/>
          <w:color w:val="404040"/>
          <w:sz w:val="18"/>
        </w:rPr>
        <w:tab/>
        <w:t>2025.02 - 2025.05</w:t>
      </w:r>
    </w:p>
    <w:p>
      <w:pPr>
        <w:keepLines/>
        <w:spacing w:before="0" w:after="10" w:line="264" w:lineRule="exact"/>
        <w:ind w:left="272" w:hanging="272"/>
      </w:pPr>
      <w:r>
        <w:rPr>
          <w:rFonts w:ascii="Helvetica Neue" w:hAnsi="Helvetica Neue" w:eastAsia="PingFang SC"/>
          <w:b w:val="0"/>
          <w:i w:val="0"/>
          <w:color w:val="000000"/>
          <w:sz w:val="20"/>
        </w:rPr>
        <w:t xml:space="preserve">•  </w:t>
      </w:r>
      <w:r>
        <w:rPr>
          <w:rFonts w:ascii="Helvetica Neue" w:hAnsi="Helvetica Neue" w:eastAsia="PingFang SC"/>
          <w:b w:val="0"/>
          <w:i w:val="0"/>
          <w:color w:val="000000"/>
          <w:sz w:val="20"/>
        </w:rPr>
        <w:t>负责经济敞口章节，将汇率变动影响拆解为运营、成本、需求三条路径；统筹分工与进度，整合 25 页终稿并完成课堂汇报</w:t>
      </w:r>
    </w:p>
    <w:p>
      <w:pPr>
        <w:keepNext/>
        <w:tabs>
          <w:tab w:pos="10148" w:val="right"/>
        </w:tabs>
        <w:spacing w:before="56" w:after="12" w:line="248" w:lineRule="exact"/>
      </w:pPr>
      <w:r>
        <w:rPr>
          <w:rFonts w:ascii="Helvetica Neue" w:hAnsi="Helvetica Neue" w:eastAsia="PingFang SC"/>
          <w:b/>
          <w:i w:val="0"/>
          <w:color w:val="000000"/>
          <w:sz w:val="20"/>
        </w:rPr>
        <w:t>独立估值研究：美股 DCF 与可比公司模型（TSLA / NVDA / AAPL）</w:t>
      </w:r>
      <w:r>
        <w:rPr>
          <w:rFonts w:ascii="Helvetica Neue" w:hAnsi="Helvetica Neue" w:eastAsia="PingFang SC"/>
          <w:b/>
          <w:i w:val="0"/>
          <w:color w:val="000000"/>
          <w:sz w:val="19"/>
        </w:rPr>
        <w:t xml:space="preserve">　自建作品集</w:t>
      </w:r>
      <w:r>
        <w:rPr>
          <w:rFonts w:ascii="Helvetica Neue" w:hAnsi="Helvetica Neue" w:eastAsia="PingFang SC"/>
          <w:b w:val="0"/>
          <w:i w:val="0"/>
          <w:color w:val="404040"/>
          <w:sz w:val="18"/>
        </w:rPr>
        <w:tab/>
        <w:t>2024.01 - 2025.01</w:t>
      </w:r>
    </w:p>
    <w:p>
      <w:pPr>
        <w:keepLines/>
        <w:spacing w:before="0" w:after="10" w:line="264" w:lineRule="exact"/>
        <w:ind w:left="272" w:hanging="272"/>
      </w:pPr>
      <w:r>
        <w:rPr>
          <w:rFonts w:ascii="Helvetica Neue" w:hAnsi="Helvetica Neue" w:eastAsia="PingFang SC"/>
          <w:b w:val="0"/>
          <w:i w:val="0"/>
          <w:color w:val="000000"/>
          <w:sz w:val="20"/>
        </w:rPr>
        <w:t xml:space="preserve">•  </w:t>
      </w:r>
      <w:r>
        <w:rPr>
          <w:rFonts w:ascii="Helvetica Neue" w:hAnsi="Helvetica Neue" w:eastAsia="PingFang SC"/>
          <w:b w:val="0"/>
          <w:i w:val="0"/>
          <w:color w:val="000000"/>
          <w:sz w:val="20"/>
        </w:rPr>
        <w:t>搭建三家公司两段式 DCF 模型与可比公司倍数表，输出估值中枢 $84.5 / $121.8 / $202.6，与 2024-12-31 收盘价对比判定 TSLA 明显高估、AAPL 高估、NVDA 合理；以 10-K 披露值校验关键假设与股本口径</w:t>
      </w:r>
    </w:p>
    <w:p>
      <w:pPr>
        <w:keepNext/>
        <w:tabs>
          <w:tab w:pos="10148" w:val="right"/>
        </w:tabs>
        <w:spacing w:before="56" w:after="12" w:line="248" w:lineRule="exact"/>
      </w:pPr>
      <w:r>
        <w:rPr>
          <w:rFonts w:ascii="Helvetica Neue" w:hAnsi="Helvetica Neue" w:eastAsia="PingFang SC"/>
          <w:b/>
          <w:i w:val="0"/>
          <w:color w:val="000000"/>
          <w:sz w:val="20"/>
        </w:rPr>
        <w:t>固定收益：债券定价与久期测算</w:t>
      </w:r>
      <w:r>
        <w:rPr>
          <w:rFonts w:ascii="Helvetica Neue" w:hAnsi="Helvetica Neue" w:eastAsia="PingFang SC"/>
          <w:b/>
          <w:i w:val="0"/>
          <w:color w:val="000000"/>
          <w:sz w:val="19"/>
        </w:rPr>
        <w:t xml:space="preserve">　课程项目</w:t>
      </w:r>
      <w:r>
        <w:rPr>
          <w:rFonts w:ascii="Helvetica Neue" w:hAnsi="Helvetica Neue" w:eastAsia="PingFang SC"/>
          <w:b w:val="0"/>
          <w:i w:val="0"/>
          <w:color w:val="404040"/>
          <w:sz w:val="18"/>
        </w:rPr>
        <w:tab/>
        <w:t>2025.09 - 2025.12</w:t>
      </w:r>
    </w:p>
    <w:p>
      <w:pPr>
        <w:keepLines/>
        <w:spacing w:before="0" w:after="10" w:line="264" w:lineRule="exact"/>
        <w:ind w:left="272" w:hanging="272"/>
      </w:pPr>
      <w:r>
        <w:rPr>
          <w:rFonts w:ascii="Helvetica Neue" w:hAnsi="Helvetica Neue" w:eastAsia="PingFang SC"/>
          <w:b w:val="0"/>
          <w:i w:val="0"/>
          <w:color w:val="000000"/>
          <w:sz w:val="20"/>
        </w:rPr>
        <w:t xml:space="preserve">•  </w:t>
      </w:r>
      <w:r>
        <w:rPr>
          <w:rFonts w:ascii="Helvetica Neue" w:hAnsi="Helvetica Neue" w:eastAsia="PingFang SC"/>
          <w:b w:val="0"/>
          <w:i w:val="0"/>
          <w:color w:val="000000"/>
          <w:sz w:val="20"/>
        </w:rPr>
        <w:t>搭建 6 只不同结构债券（国债 / 投资级公司债 / 可赎回债 / 可回售债）的现金流折现定价模型，求解 YTM / YTC / YTW 并与市场报价比对；计算修正久期与凸性，完成 ±100 / ±200 bp 利率情景测算并输出相对价值排序</w:t>
      </w:r>
    </w:p>
    <w:p>
      <w:pPr>
        <w:keepNext/>
        <w:tabs>
          <w:tab w:pos="10148" w:val="right"/>
        </w:tabs>
        <w:spacing w:before="56" w:after="12" w:line="248" w:lineRule="exact"/>
      </w:pPr>
      <w:r>
        <w:rPr>
          <w:rFonts w:ascii="Helvetica Neue" w:hAnsi="Helvetica Neue" w:eastAsia="PingFang SC"/>
          <w:b/>
          <w:i w:val="0"/>
          <w:color w:val="000000"/>
          <w:sz w:val="20"/>
        </w:rPr>
        <w:t>AI 工具实践：财务流程与提示词优化</w:t>
      </w:r>
      <w:r>
        <w:rPr>
          <w:rFonts w:ascii="Helvetica Neue" w:hAnsi="Helvetica Neue" w:eastAsia="PingFang SC"/>
          <w:b/>
          <w:i w:val="0"/>
          <w:color w:val="000000"/>
          <w:sz w:val="19"/>
        </w:rPr>
        <w:t xml:space="preserve">　个人项目</w:t>
      </w:r>
      <w:r>
        <w:rPr>
          <w:rFonts w:ascii="Helvetica Neue" w:hAnsi="Helvetica Neue" w:eastAsia="PingFang SC"/>
          <w:b w:val="0"/>
          <w:i w:val="0"/>
          <w:color w:val="404040"/>
          <w:sz w:val="18"/>
        </w:rPr>
        <w:tab/>
        <w:t>2026.01 - 2026.10</w:t>
      </w:r>
    </w:p>
    <w:p>
      <w:pPr>
        <w:keepLines/>
        <w:spacing w:before="0" w:after="10" w:line="264" w:lineRule="exact"/>
        <w:ind w:left="272" w:hanging="272"/>
      </w:pPr>
      <w:r>
        <w:rPr>
          <w:rFonts w:ascii="Helvetica Neue" w:hAnsi="Helvetica Neue" w:eastAsia="PingFang SC"/>
          <w:b w:val="0"/>
          <w:i w:val="0"/>
          <w:color w:val="000000"/>
          <w:sz w:val="20"/>
        </w:rPr>
        <w:t xml:space="preserve">•  </w:t>
      </w:r>
      <w:r>
        <w:rPr>
          <w:rFonts w:ascii="Helvetica Neue" w:hAnsi="Helvetica Neue" w:eastAsia="PingFang SC"/>
          <w:b w:val="0"/>
          <w:i w:val="0"/>
          <w:color w:val="000000"/>
          <w:sz w:val="20"/>
        </w:rPr>
        <w:t>在费用与报表分析场景中用 ChatGPT / Gemini 生成公式与数据清洗逻辑并经人工复核；本地部署 Prompt Optimizer 的 MCP 服务，用 Skills 将提示词优化与文本处理流程固化</w:t>
      </w:r>
    </w:p>
    <w:p>
      <w:pPr>
        <w:keepNext/>
        <w:spacing w:before="80" w:after="28" w:line="260" w:lineRule="exact"/>
        <w:pBdr>
          <w:bottom w:val="single" w:sz="6" w:space="2" w:color="808080"/>
        </w:pBdr>
      </w:pPr>
      <w:r>
        <w:rPr>
          <w:rFonts w:ascii="Helvetica Neue" w:hAnsi="Helvetica Neue" w:eastAsia="PingFang SC"/>
          <w:b/>
          <w:i w:val="0"/>
          <w:color w:val="000000"/>
          <w:sz w:val="21"/>
        </w:rPr>
        <w:t>技能、证书与语言</w:t>
      </w:r>
    </w:p>
    <w:p>
      <w:pPr>
        <w:keepLines/>
        <w:spacing w:before="0" w:after="10" w:line="264" w:lineRule="exact"/>
        <w:ind w:left="272" w:hanging="272"/>
      </w:pPr>
      <w:r>
        <w:rPr>
          <w:rFonts w:ascii="Helvetica Neue" w:hAnsi="Helvetica Neue" w:eastAsia="PingFang SC"/>
          <w:b w:val="0"/>
          <w:i w:val="0"/>
          <w:color w:val="000000"/>
          <w:sz w:val="20"/>
        </w:rPr>
        <w:t xml:space="preserve">•  </w:t>
      </w:r>
      <w:r>
        <w:rPr>
          <w:rFonts w:ascii="Helvetica Neue" w:hAnsi="Helvetica Neue" w:eastAsia="PingFang SC"/>
          <w:b/>
          <w:i w:val="0"/>
          <w:color w:val="000000"/>
          <w:sz w:val="20"/>
        </w:rPr>
        <w:t>财务与数据：</w:t>
      </w:r>
      <w:r>
        <w:rPr>
          <w:rFonts w:ascii="Helvetica Neue" w:hAnsi="Helvetica Neue" w:eastAsia="PingFang SC"/>
          <w:b w:val="0"/>
          <w:i w:val="0"/>
          <w:color w:val="000000"/>
          <w:sz w:val="20"/>
        </w:rPr>
        <w:t>Excel（XLOOKUP、SUMIFS、数据透视表、Power Query）、财务建模（DCF、可比公司、预算与预测、情景与敏感性）、预实差异分析、债券定价与久期（YTM / YTC / YTW、久期与凸性）</w:t>
      </w:r>
    </w:p>
    <w:p>
      <w:pPr>
        <w:keepLines/>
        <w:spacing w:before="0" w:after="10" w:line="264" w:lineRule="exact"/>
        <w:ind w:left="272" w:hanging="272"/>
      </w:pPr>
      <w:r>
        <w:rPr>
          <w:rFonts w:ascii="Helvetica Neue" w:hAnsi="Helvetica Neue" w:eastAsia="PingFang SC"/>
          <w:b w:val="0"/>
          <w:i w:val="0"/>
          <w:color w:val="000000"/>
          <w:sz w:val="20"/>
        </w:rPr>
        <w:t xml:space="preserve">•  </w:t>
      </w:r>
      <w:r>
        <w:rPr>
          <w:rFonts w:ascii="Helvetica Neue" w:hAnsi="Helvetica Neue" w:eastAsia="PingFang SC"/>
          <w:b/>
          <w:i w:val="0"/>
          <w:color w:val="000000"/>
          <w:sz w:val="20"/>
        </w:rPr>
        <w:t>工具与 AI：</w:t>
      </w:r>
      <w:r>
        <w:rPr>
          <w:rFonts w:ascii="Helvetica Neue" w:hAnsi="Helvetica Neue" w:eastAsia="PingFang SC"/>
          <w:b w:val="0"/>
          <w:i w:val="0"/>
          <w:color w:val="000000"/>
          <w:sz w:val="20"/>
        </w:rPr>
        <w:t>SQL（多表关联与数据清洗）、ChatGPT / Gemini 与 AI 工作流（人工复核后使用）</w:t>
      </w:r>
    </w:p>
    <w:p>
      <w:pPr>
        <w:keepLines/>
        <w:spacing w:before="0" w:after="10" w:line="264" w:lineRule="exact"/>
        <w:ind w:left="272" w:hanging="272"/>
      </w:pPr>
      <w:r>
        <w:rPr>
          <w:rFonts w:ascii="Helvetica Neue" w:hAnsi="Helvetica Neue" w:eastAsia="PingFang SC"/>
          <w:b w:val="0"/>
          <w:i w:val="0"/>
          <w:color w:val="000000"/>
          <w:sz w:val="20"/>
        </w:rPr>
        <w:t xml:space="preserve">•  </w:t>
      </w:r>
      <w:r>
        <w:rPr>
          <w:rFonts w:ascii="Helvetica Neue" w:hAnsi="Helvetica Neue" w:eastAsia="PingFang SC"/>
          <w:b/>
          <w:i w:val="0"/>
          <w:color w:val="000000"/>
          <w:sz w:val="20"/>
        </w:rPr>
        <w:t>证书与语言：</w:t>
      </w:r>
      <w:r>
        <w:rPr>
          <w:rFonts w:ascii="Helvetica Neue" w:hAnsi="Helvetica Neue" w:eastAsia="PingFang SC"/>
          <w:b w:val="0"/>
          <w:i w:val="0"/>
          <w:color w:val="000000"/>
          <w:sz w:val="20"/>
        </w:rPr>
        <w:t>CPA 报名中；CFA Level I 备考中；TOEFL 98；普通话（母语）、英语（全英文授课与纽约实习）</w:t>
      </w:r>
    </w:p>
    <w:sectPr w:rsidR="00FC693F" w:rsidRPr="0006063C" w:rsidSect="00034616">
      <w:pgSz w:w="11906" w:h="16838"/>
      <w:pgMar w:top="680" w:right="879" w:bottom="624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64" w:lineRule="auto"/>
    </w:pPr>
    <w:rPr>
      <w:rFonts w:ascii="Helvetica Neue" w:hAnsi="Helvetica Neue" w:eastAsia="PingFang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