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DAA436D">
      <w:pPr>
        <w:jc w:val="center"/>
        <w:rPr>
          <w:rFonts w:hint="eastAsia" w:ascii="方正大黑简体" w:eastAsia="方正大黑简体"/>
          <w:b/>
          <w:spacing w:val="60"/>
          <w:sz w:val="32"/>
          <w:szCs w:val="32"/>
        </w:rPr>
      </w:pPr>
      <w:r>
        <w:rPr>
          <w:rFonts w:hint="eastAsia" w:ascii="方正大黑简体" w:eastAsia="方正大黑简体"/>
          <w:b/>
          <w:spacing w:val="60"/>
          <w:sz w:val="32"/>
          <w:szCs w:val="32"/>
        </w:rPr>
        <w:t>专利技术交底书</w:t>
      </w:r>
    </w:p>
    <w:tbl>
      <w:tblPr>
        <w:tblStyle w:val="14"/>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1538"/>
        <w:gridCol w:w="1842"/>
        <w:gridCol w:w="2110"/>
        <w:gridCol w:w="2456"/>
      </w:tblGrid>
      <w:tr w14:paraId="4AE4E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389DC13F">
            <w:pPr>
              <w:jc w:val="left"/>
              <w:rPr>
                <w:rFonts w:hint="eastAsia"/>
                <w:b/>
              </w:rPr>
            </w:pPr>
            <w:r>
              <w:rPr>
                <w:rFonts w:hint="eastAsia"/>
                <w:b/>
              </w:rPr>
              <w:t>企业名称：</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4137D6CE">
            <w:pPr>
              <w:widowControl/>
              <w:jc w:val="left"/>
              <w:rPr>
                <w:rFonts w:hint="eastAsia"/>
              </w:rPr>
            </w:pPr>
            <w:r>
              <w:rPr>
                <w:rFonts w:hint="eastAsia"/>
                <w:color w:val="808080"/>
              </w:rPr>
              <w:t>申请人为单位时填写</w:t>
            </w:r>
          </w:p>
        </w:tc>
        <w:tc>
          <w:tcPr>
            <w:tcW w:w="2110" w:type="dxa"/>
            <w:tcBorders>
              <w:top w:val="single" w:color="auto" w:sz="4" w:space="0"/>
              <w:left w:val="single" w:color="auto" w:sz="4" w:space="0"/>
              <w:bottom w:val="single" w:color="auto" w:sz="4" w:space="0"/>
              <w:right w:val="single" w:color="auto" w:sz="4" w:space="0"/>
            </w:tcBorders>
            <w:noWrap w:val="0"/>
            <w:vAlign w:val="bottom"/>
          </w:tcPr>
          <w:p w14:paraId="66F0D340">
            <w:pPr>
              <w:widowControl/>
              <w:jc w:val="left"/>
              <w:rPr>
                <w:rFonts w:hint="eastAsia"/>
                <w:b/>
              </w:rPr>
            </w:pPr>
            <w:r>
              <w:rPr>
                <w:rFonts w:hint="eastAsia"/>
                <w:b/>
              </w:rPr>
              <w:t>统一社会信用代码：</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383D0B78">
            <w:pPr>
              <w:autoSpaceDN w:val="0"/>
              <w:spacing w:beforeAutospacing="1" w:afterAutospacing="1"/>
              <w:rPr>
                <w:rFonts w:ascii="宋体" w:hAnsi="宋体"/>
                <w:sz w:val="24"/>
              </w:rPr>
            </w:pPr>
            <w:r>
              <w:rPr>
                <w:rFonts w:hint="eastAsia" w:ascii="宋体" w:hAnsi="宋体"/>
                <w:sz w:val="24"/>
              </w:rPr>
              <w:t xml:space="preserve"> </w:t>
            </w:r>
          </w:p>
          <w:p w14:paraId="56A94123">
            <w:pPr>
              <w:widowControl/>
              <w:jc w:val="left"/>
              <w:rPr>
                <w:rFonts w:hint="eastAsia"/>
              </w:rPr>
            </w:pPr>
          </w:p>
        </w:tc>
      </w:tr>
      <w:tr w14:paraId="57BBF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3E54E025">
            <w:pPr>
              <w:jc w:val="left"/>
              <w:rPr>
                <w:rFonts w:hint="eastAsia"/>
                <w:b/>
              </w:rPr>
            </w:pPr>
            <w:r>
              <w:rPr>
                <w:rFonts w:hint="eastAsia"/>
                <w:b/>
              </w:rPr>
              <w:t>申请人姓名：</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4E702A1C">
            <w:pPr>
              <w:widowControl/>
              <w:jc w:val="left"/>
              <w:rPr>
                <w:rFonts w:hint="eastAsia" w:eastAsia="宋体"/>
                <w:color w:val="808080"/>
                <w:lang w:val="en-US" w:eastAsia="zh-CN"/>
              </w:rPr>
            </w:pPr>
            <w:r>
              <w:rPr>
                <w:rFonts w:hint="eastAsia"/>
                <w:color w:val="808080"/>
                <w:lang w:val="en-US" w:eastAsia="zh-CN"/>
              </w:rPr>
              <w:t>詹志</w:t>
            </w:r>
          </w:p>
        </w:tc>
        <w:tc>
          <w:tcPr>
            <w:tcW w:w="2110" w:type="dxa"/>
            <w:tcBorders>
              <w:top w:val="single" w:color="auto" w:sz="4" w:space="0"/>
              <w:left w:val="single" w:color="auto" w:sz="4" w:space="0"/>
              <w:bottom w:val="single" w:color="auto" w:sz="4" w:space="0"/>
              <w:right w:val="single" w:color="auto" w:sz="4" w:space="0"/>
            </w:tcBorders>
            <w:noWrap w:val="0"/>
            <w:vAlign w:val="bottom"/>
          </w:tcPr>
          <w:p w14:paraId="3D593656">
            <w:pPr>
              <w:widowControl/>
              <w:jc w:val="left"/>
              <w:rPr>
                <w:rFonts w:hint="eastAsia"/>
                <w:b/>
              </w:rPr>
            </w:pPr>
            <w:r>
              <w:rPr>
                <w:rFonts w:hint="eastAsia"/>
                <w:b/>
              </w:rPr>
              <w:t>申请人身份证号：</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067E55EC">
            <w:pPr>
              <w:widowControl/>
              <w:jc w:val="left"/>
              <w:rPr>
                <w:rFonts w:hint="eastAsia"/>
              </w:rPr>
            </w:pPr>
            <w:r>
              <w:rPr>
                <w:rFonts w:hint="eastAsia"/>
                <w:color w:val="808080"/>
              </w:rPr>
              <w:t>申请人为自然人时填写</w:t>
            </w:r>
          </w:p>
        </w:tc>
      </w:tr>
      <w:tr w14:paraId="50844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227A9707">
            <w:pPr>
              <w:jc w:val="left"/>
              <w:rPr>
                <w:rFonts w:hint="eastAsia"/>
                <w:b/>
              </w:rPr>
            </w:pPr>
            <w:r>
              <w:rPr>
                <w:rFonts w:hint="eastAsia"/>
                <w:b/>
              </w:rPr>
              <w:t>专利名称：</w:t>
            </w:r>
          </w:p>
        </w:tc>
        <w:tc>
          <w:tcPr>
            <w:tcW w:w="7946" w:type="dxa"/>
            <w:gridSpan w:val="4"/>
            <w:tcBorders>
              <w:top w:val="single" w:color="auto" w:sz="4" w:space="0"/>
              <w:left w:val="single" w:color="auto" w:sz="4" w:space="0"/>
              <w:bottom w:val="single" w:color="auto" w:sz="4" w:space="0"/>
              <w:right w:val="single" w:color="auto" w:sz="4" w:space="0"/>
            </w:tcBorders>
            <w:noWrap w:val="0"/>
            <w:vAlign w:val="bottom"/>
          </w:tcPr>
          <w:p w14:paraId="43851FFD">
            <w:pPr>
              <w:jc w:val="left"/>
              <w:rPr>
                <w:rFonts w:hint="default" w:eastAsia="宋体"/>
                <w:lang w:val="en-US" w:eastAsia="zh-CN"/>
              </w:rPr>
            </w:pPr>
            <w:r>
              <w:rPr>
                <w:rFonts w:hint="eastAsia" w:eastAsia="宋体"/>
                <w:lang w:val="en-US" w:eastAsia="zh-CN"/>
              </w:rPr>
              <w:t>一种网络靶场中虚拟管理网络</w:t>
            </w:r>
            <w:r>
              <w:rPr>
                <w:rFonts w:hint="eastAsia"/>
                <w:lang w:val="en-US" w:eastAsia="zh-CN"/>
              </w:rPr>
              <w:t>的</w:t>
            </w:r>
            <w:r>
              <w:rPr>
                <w:rFonts w:hint="eastAsia" w:eastAsia="宋体"/>
                <w:lang w:val="en-US" w:eastAsia="zh-CN"/>
              </w:rPr>
              <w:t>设计和实现</w:t>
            </w:r>
          </w:p>
        </w:tc>
      </w:tr>
      <w:tr w14:paraId="73331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01DF06B9">
            <w:pPr>
              <w:jc w:val="left"/>
              <w:rPr>
                <w:rFonts w:hint="eastAsia"/>
              </w:rPr>
            </w:pPr>
            <w:r>
              <w:rPr>
                <w:rFonts w:hint="eastAsia"/>
                <w:b/>
              </w:rPr>
              <w:t>通讯地址:</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5B394217">
            <w:pPr>
              <w:jc w:val="left"/>
              <w:rPr>
                <w:rFonts w:hint="eastAsia"/>
              </w:rPr>
            </w:pPr>
          </w:p>
        </w:tc>
        <w:tc>
          <w:tcPr>
            <w:tcW w:w="2110" w:type="dxa"/>
            <w:tcBorders>
              <w:top w:val="single" w:color="auto" w:sz="4" w:space="0"/>
              <w:left w:val="single" w:color="auto" w:sz="4" w:space="0"/>
              <w:bottom w:val="single" w:color="auto" w:sz="4" w:space="0"/>
              <w:right w:val="single" w:color="auto" w:sz="4" w:space="0"/>
            </w:tcBorders>
            <w:noWrap w:val="0"/>
            <w:vAlign w:val="bottom"/>
          </w:tcPr>
          <w:p w14:paraId="0EB49FDA">
            <w:pPr>
              <w:jc w:val="left"/>
              <w:rPr>
                <w:rFonts w:hint="eastAsia"/>
              </w:rPr>
            </w:pPr>
            <w:r>
              <w:rPr>
                <w:rFonts w:hint="eastAsia"/>
                <w:b/>
              </w:rPr>
              <w:t>邮编:</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412D3234">
            <w:pPr>
              <w:widowControl/>
              <w:jc w:val="left"/>
              <w:rPr>
                <w:rFonts w:hint="eastAsia"/>
              </w:rPr>
            </w:pPr>
          </w:p>
        </w:tc>
      </w:tr>
      <w:tr w14:paraId="44A0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52FC0A17">
            <w:pPr>
              <w:jc w:val="left"/>
              <w:rPr>
                <w:rFonts w:hint="eastAsia"/>
                <w:b/>
              </w:rPr>
            </w:pPr>
            <w:r>
              <w:rPr>
                <w:rFonts w:hint="eastAsia"/>
                <w:b/>
              </w:rPr>
              <w:t>是否同步申请实质审查：</w:t>
            </w:r>
          </w:p>
        </w:tc>
        <w:tc>
          <w:tcPr>
            <w:tcW w:w="3380" w:type="dxa"/>
            <w:gridSpan w:val="2"/>
            <w:tcBorders>
              <w:top w:val="single" w:color="auto" w:sz="4" w:space="0"/>
              <w:left w:val="single" w:color="auto" w:sz="4" w:space="0"/>
              <w:bottom w:val="single" w:color="auto" w:sz="4" w:space="0"/>
              <w:right w:val="single" w:color="auto" w:sz="4" w:space="0"/>
            </w:tcBorders>
            <w:noWrap w:val="0"/>
            <w:vAlign w:val="bottom"/>
          </w:tcPr>
          <w:p w14:paraId="63EF26D3">
            <w:pPr>
              <w:jc w:val="left"/>
              <w:rPr>
                <w:rFonts w:hint="eastAsia"/>
              </w:rPr>
            </w:pPr>
            <w:r>
              <w:rPr>
                <w:rFonts w:hint="eastAsia"/>
                <w:color w:val="808080"/>
              </w:rPr>
              <w:t>是/否</w:t>
            </w:r>
          </w:p>
        </w:tc>
        <w:tc>
          <w:tcPr>
            <w:tcW w:w="2110" w:type="dxa"/>
            <w:tcBorders>
              <w:top w:val="single" w:color="auto" w:sz="4" w:space="0"/>
              <w:left w:val="single" w:color="auto" w:sz="4" w:space="0"/>
              <w:bottom w:val="single" w:color="auto" w:sz="4" w:space="0"/>
              <w:right w:val="single" w:color="auto" w:sz="4" w:space="0"/>
            </w:tcBorders>
            <w:noWrap w:val="0"/>
            <w:vAlign w:val="bottom"/>
          </w:tcPr>
          <w:p w14:paraId="015533AA">
            <w:pPr>
              <w:jc w:val="left"/>
              <w:rPr>
                <w:rFonts w:hint="eastAsia"/>
                <w:b/>
              </w:rPr>
            </w:pPr>
            <w:r>
              <w:rPr>
                <w:rFonts w:hint="eastAsia"/>
                <w:b/>
              </w:rPr>
              <w:t>是否申请</w:t>
            </w:r>
          </w:p>
          <w:p w14:paraId="2EA02334">
            <w:pPr>
              <w:jc w:val="left"/>
              <w:rPr>
                <w:rFonts w:hint="eastAsia"/>
                <w:b/>
              </w:rPr>
            </w:pPr>
            <w:r>
              <w:rPr>
                <w:rFonts w:hint="eastAsia"/>
                <w:b/>
              </w:rPr>
              <w:t>提前公布：</w:t>
            </w:r>
          </w:p>
        </w:tc>
        <w:tc>
          <w:tcPr>
            <w:tcW w:w="2456" w:type="dxa"/>
            <w:tcBorders>
              <w:top w:val="single" w:color="auto" w:sz="4" w:space="0"/>
              <w:left w:val="single" w:color="auto" w:sz="4" w:space="0"/>
              <w:bottom w:val="single" w:color="auto" w:sz="4" w:space="0"/>
              <w:right w:val="single" w:color="auto" w:sz="4" w:space="0"/>
            </w:tcBorders>
            <w:noWrap w:val="0"/>
            <w:vAlign w:val="bottom"/>
          </w:tcPr>
          <w:p w14:paraId="6D812AF5">
            <w:pPr>
              <w:widowControl/>
              <w:jc w:val="left"/>
              <w:rPr>
                <w:rFonts w:hint="eastAsia"/>
              </w:rPr>
            </w:pPr>
            <w:r>
              <w:rPr>
                <w:rFonts w:hint="eastAsia"/>
                <w:color w:val="808080"/>
              </w:rPr>
              <w:t>是/否</w:t>
            </w:r>
          </w:p>
        </w:tc>
      </w:tr>
      <w:tr w14:paraId="7BD7C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exact"/>
          <w:jc w:val="center"/>
        </w:trPr>
        <w:tc>
          <w:tcPr>
            <w:tcW w:w="1414" w:type="dxa"/>
            <w:tcBorders>
              <w:top w:val="single" w:color="auto" w:sz="4" w:space="0"/>
              <w:left w:val="single" w:color="auto" w:sz="4" w:space="0"/>
              <w:bottom w:val="single" w:color="auto" w:sz="4" w:space="0"/>
              <w:right w:val="single" w:color="auto" w:sz="4" w:space="0"/>
            </w:tcBorders>
            <w:noWrap w:val="0"/>
            <w:vAlign w:val="bottom"/>
          </w:tcPr>
          <w:p w14:paraId="2775016E">
            <w:pPr>
              <w:jc w:val="left"/>
              <w:rPr>
                <w:rFonts w:hint="eastAsia"/>
                <w:b/>
              </w:rPr>
            </w:pPr>
            <w:r>
              <w:rPr>
                <w:rFonts w:hint="eastAsia"/>
                <w:b/>
              </w:rPr>
              <w:t>技术联系人：</w:t>
            </w:r>
          </w:p>
          <w:p w14:paraId="0E026B8D">
            <w:pPr>
              <w:jc w:val="left"/>
              <w:rPr>
                <w:rFonts w:hint="eastAsia"/>
                <w:b/>
              </w:rPr>
            </w:pPr>
          </w:p>
        </w:tc>
        <w:tc>
          <w:tcPr>
            <w:tcW w:w="7946" w:type="dxa"/>
            <w:gridSpan w:val="4"/>
            <w:tcBorders>
              <w:top w:val="single" w:color="auto" w:sz="4" w:space="0"/>
              <w:left w:val="single" w:color="auto" w:sz="4" w:space="0"/>
              <w:bottom w:val="single" w:color="auto" w:sz="4" w:space="0"/>
              <w:right w:val="single" w:color="auto" w:sz="4" w:space="0"/>
            </w:tcBorders>
            <w:noWrap w:val="0"/>
            <w:vAlign w:val="bottom"/>
          </w:tcPr>
          <w:p w14:paraId="73E58ECA">
            <w:pPr>
              <w:jc w:val="left"/>
              <w:rPr>
                <w:rFonts w:hint="eastAsia" w:eastAsia="宋体"/>
                <w:b/>
                <w:lang w:val="en-US" w:eastAsia="zh-CN"/>
              </w:rPr>
            </w:pPr>
            <w:r>
              <w:rPr>
                <w:rFonts w:hint="eastAsia"/>
                <w:b/>
              </w:rPr>
              <w:t>姓名：</w:t>
            </w:r>
            <w:r>
              <w:rPr>
                <w:rFonts w:hint="eastAsia"/>
                <w:b/>
                <w:lang w:val="en-US" w:eastAsia="zh-CN"/>
              </w:rPr>
              <w:t>詹志</w:t>
            </w:r>
          </w:p>
          <w:p w14:paraId="7C76F80E">
            <w:pPr>
              <w:jc w:val="left"/>
              <w:rPr>
                <w:rFonts w:hint="default" w:eastAsia="宋体"/>
                <w:b/>
                <w:lang w:val="en-US" w:eastAsia="zh-CN"/>
              </w:rPr>
            </w:pPr>
            <w:r>
              <w:rPr>
                <w:rFonts w:hint="eastAsia"/>
                <w:b/>
              </w:rPr>
              <w:t>电话：</w:t>
            </w:r>
            <w:r>
              <w:rPr>
                <w:rFonts w:hint="eastAsia"/>
                <w:b/>
                <w:lang w:val="en-US" w:eastAsia="zh-CN"/>
              </w:rPr>
              <w:t>13361875998</w:t>
            </w:r>
          </w:p>
          <w:p w14:paraId="055A09FD">
            <w:pPr>
              <w:jc w:val="left"/>
              <w:rPr>
                <w:rFonts w:hint="default" w:eastAsia="宋体"/>
                <w:lang w:val="en-US" w:eastAsia="zh-CN"/>
              </w:rPr>
            </w:pPr>
            <w:r>
              <w:rPr>
                <w:rFonts w:hint="eastAsia"/>
                <w:b/>
              </w:rPr>
              <w:t>E-mail：</w:t>
            </w:r>
            <w:r>
              <w:rPr>
                <w:rFonts w:hint="eastAsia"/>
                <w:b/>
                <w:lang w:val="en-US" w:eastAsia="zh-CN"/>
              </w:rPr>
              <w:t>1782865441@qq.com</w:t>
            </w:r>
          </w:p>
        </w:tc>
      </w:tr>
      <w:tr w14:paraId="28509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exact"/>
          <w:jc w:val="center"/>
        </w:trPr>
        <w:tc>
          <w:tcPr>
            <w:tcW w:w="2952" w:type="dxa"/>
            <w:gridSpan w:val="2"/>
            <w:tcBorders>
              <w:top w:val="single" w:color="auto" w:sz="4" w:space="0"/>
              <w:left w:val="single" w:color="auto" w:sz="4" w:space="0"/>
              <w:bottom w:val="single" w:color="auto" w:sz="4" w:space="0"/>
              <w:right w:val="single" w:color="auto" w:sz="4" w:space="0"/>
            </w:tcBorders>
            <w:noWrap w:val="0"/>
            <w:vAlign w:val="bottom"/>
          </w:tcPr>
          <w:p w14:paraId="40ACA9D1">
            <w:pPr>
              <w:jc w:val="left"/>
              <w:rPr>
                <w:rFonts w:hint="eastAsia"/>
                <w:u w:val="single"/>
              </w:rPr>
            </w:pPr>
            <w:r>
              <w:rPr>
                <w:rFonts w:hint="eastAsia"/>
                <w:b/>
              </w:rPr>
              <w:t>发明人（可以写多个）：</w:t>
            </w:r>
          </w:p>
        </w:tc>
        <w:tc>
          <w:tcPr>
            <w:tcW w:w="6408" w:type="dxa"/>
            <w:gridSpan w:val="3"/>
            <w:tcBorders>
              <w:top w:val="single" w:color="auto" w:sz="4" w:space="0"/>
              <w:left w:val="single" w:color="auto" w:sz="4" w:space="0"/>
              <w:bottom w:val="single" w:color="auto" w:sz="4" w:space="0"/>
              <w:right w:val="single" w:color="auto" w:sz="4" w:space="0"/>
            </w:tcBorders>
            <w:noWrap w:val="0"/>
            <w:vAlign w:val="bottom"/>
          </w:tcPr>
          <w:p w14:paraId="16087637">
            <w:pPr>
              <w:jc w:val="left"/>
              <w:rPr>
                <w:rFonts w:hint="eastAsia" w:eastAsia="宋体"/>
                <w:color w:val="FF0000"/>
                <w:lang w:val="en-US" w:eastAsia="zh-CN"/>
              </w:rPr>
            </w:pPr>
          </w:p>
        </w:tc>
      </w:tr>
      <w:tr w14:paraId="4F646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exact"/>
          <w:jc w:val="center"/>
        </w:trPr>
        <w:tc>
          <w:tcPr>
            <w:tcW w:w="2952" w:type="dxa"/>
            <w:gridSpan w:val="2"/>
            <w:tcBorders>
              <w:top w:val="single" w:color="auto" w:sz="4" w:space="0"/>
              <w:left w:val="single" w:color="auto" w:sz="4" w:space="0"/>
              <w:bottom w:val="single" w:color="auto" w:sz="4" w:space="0"/>
              <w:right w:val="single" w:color="auto" w:sz="4" w:space="0"/>
            </w:tcBorders>
            <w:noWrap w:val="0"/>
            <w:vAlign w:val="bottom"/>
          </w:tcPr>
          <w:p w14:paraId="27DC8230">
            <w:pPr>
              <w:jc w:val="left"/>
              <w:rPr>
                <w:rFonts w:hint="eastAsia"/>
                <w:b/>
              </w:rPr>
            </w:pPr>
            <w:r>
              <w:rPr>
                <w:rFonts w:hint="eastAsia"/>
                <w:b/>
              </w:rPr>
              <w:t>第一发明人的身份证号码：</w:t>
            </w:r>
          </w:p>
        </w:tc>
        <w:tc>
          <w:tcPr>
            <w:tcW w:w="6408" w:type="dxa"/>
            <w:gridSpan w:val="3"/>
            <w:tcBorders>
              <w:top w:val="single" w:color="auto" w:sz="4" w:space="0"/>
              <w:left w:val="single" w:color="auto" w:sz="4" w:space="0"/>
              <w:bottom w:val="single" w:color="auto" w:sz="4" w:space="0"/>
              <w:right w:val="single" w:color="auto" w:sz="4" w:space="0"/>
            </w:tcBorders>
            <w:noWrap w:val="0"/>
            <w:vAlign w:val="bottom"/>
          </w:tcPr>
          <w:p w14:paraId="57C32471">
            <w:pPr>
              <w:jc w:val="left"/>
              <w:rPr>
                <w:rFonts w:hint="eastAsia"/>
                <w:color w:val="FF0000"/>
              </w:rPr>
            </w:pPr>
          </w:p>
        </w:tc>
      </w:tr>
    </w:tbl>
    <w:p w14:paraId="15254F66">
      <w:pPr>
        <w:jc w:val="left"/>
        <w:rPr>
          <w:rFonts w:hint="eastAsia"/>
        </w:rPr>
      </w:pPr>
    </w:p>
    <w:tbl>
      <w:tblPr>
        <w:tblStyle w:val="14"/>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14CC5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2DDA6E40">
            <w:pPr>
              <w:jc w:val="left"/>
              <w:rPr>
                <w:rFonts w:hint="eastAsia"/>
              </w:rPr>
            </w:pPr>
            <w:r>
              <w:rPr>
                <w:rFonts w:hint="eastAsia"/>
                <w:b/>
              </w:rPr>
              <w:t>一、技术领域 ：</w:t>
            </w:r>
            <w:r>
              <w:rPr>
                <w:rFonts w:hint="eastAsia"/>
              </w:rPr>
              <w:t>本</w:t>
            </w:r>
            <w:r>
              <w:rPr>
                <w:rFonts w:hint="eastAsia" w:ascii="宋体" w:hAnsi="宋体" w:cs="宋体"/>
                <w:color w:val="000000"/>
              </w:rPr>
              <w:t>发明或实用新型属于何技术领域，可以在哪些领域应用。</w:t>
            </w:r>
          </w:p>
        </w:tc>
      </w:tr>
      <w:tr w14:paraId="12DC7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bottom w:val="single" w:color="auto" w:sz="12" w:space="0"/>
              <w:right w:val="single" w:color="auto" w:sz="12" w:space="0"/>
            </w:tcBorders>
            <w:noWrap w:val="0"/>
            <w:vAlign w:val="top"/>
          </w:tcPr>
          <w:p w14:paraId="3238A6EB">
            <w:pPr>
              <w:spacing w:line="288" w:lineRule="auto"/>
              <w:ind w:left="420" w:hanging="420" w:hangingChars="200"/>
              <w:jc w:val="left"/>
              <w:rPr>
                <w:rFonts w:hint="eastAsia"/>
                <w:szCs w:val="21"/>
              </w:rPr>
            </w:pPr>
            <w:r>
              <w:rPr>
                <w:rFonts w:hint="eastAsia"/>
              </w:rPr>
              <w:t xml:space="preserve"> 计算机、软件领域、网络安全</w:t>
            </w:r>
          </w:p>
        </w:tc>
      </w:tr>
      <w:tr w14:paraId="6D630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0B828894">
            <w:pPr>
              <w:jc w:val="left"/>
              <w:rPr>
                <w:rFonts w:ascii="宋体"/>
                <w:color w:val="FF0000"/>
              </w:rPr>
            </w:pPr>
            <w:r>
              <w:rPr>
                <w:rFonts w:hint="eastAsia"/>
                <w:b/>
              </w:rPr>
              <w:t>二、背景技术：</w:t>
            </w:r>
            <w:r>
              <w:rPr>
                <w:rFonts w:hint="eastAsia" w:ascii="宋体" w:hAnsi="宋体" w:cs="宋体"/>
                <w:color w:val="000000"/>
              </w:rPr>
              <w:t>（即现有技术）1、介绍所属技术领域的现有技术，尤其是与本发明欲改进的核心技术有关的技术现状。2、可从大的技术背景（该技术领域的总体状况）和小的技术背景（与本发明改进的具体技术密切相关的技术状况）两个方面进行介绍。3、如果现有技术出自专利文献、期刊、书籍等，则提供出处。现有技术有相关附图的，最好一并提供并结合附图说明。</w:t>
            </w:r>
          </w:p>
        </w:tc>
      </w:tr>
      <w:tr w14:paraId="36A17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004686F8">
            <w:pPr>
              <w:jc w:val="left"/>
              <w:rPr>
                <w:rFonts w:hint="eastAsia" w:eastAsia="宋体"/>
                <w:lang w:val="en-US" w:eastAsia="zh-CN"/>
              </w:rPr>
            </w:pPr>
            <w:r>
              <w:rPr>
                <w:rFonts w:hint="eastAsia" w:eastAsia="宋体"/>
                <w:lang w:val="en-US" w:eastAsia="zh-CN"/>
              </w:rPr>
              <w:t xml:space="preserve">  网络靶场是一种基于虚拟化技术，对真实网络环境的仿真，作为支撑网络空间安全技术验证，网络武器装备试验，攻防对抗演练和网络风险评估的平台。</w:t>
            </w:r>
          </w:p>
          <w:p w14:paraId="0BA94A9C">
            <w:pPr>
              <w:jc w:val="left"/>
              <w:rPr>
                <w:rFonts w:hint="eastAsia" w:eastAsia="宋体"/>
                <w:lang w:val="en-US" w:eastAsia="zh-CN"/>
              </w:rPr>
            </w:pPr>
            <w:r>
              <w:rPr>
                <w:rFonts w:hint="eastAsia" w:eastAsia="宋体"/>
                <w:lang w:val="en-US" w:eastAsia="zh-CN"/>
              </w:rPr>
              <w:t xml:space="preserve">  在将靶场中某个拓扑构建完成后，还需要对拓扑中的虚机实例进行网络配置、信息采集</w:t>
            </w:r>
            <w:r>
              <w:rPr>
                <w:rFonts w:hint="eastAsia"/>
                <w:lang w:val="en-US" w:eastAsia="zh-CN"/>
              </w:rPr>
              <w:t>、</w:t>
            </w:r>
            <w:r>
              <w:rPr>
                <w:rFonts w:hint="eastAsia" w:eastAsia="宋体"/>
                <w:lang w:val="en-US" w:eastAsia="zh-CN"/>
              </w:rPr>
              <w:t>流量发生等管理操作。这些操作都需要通过预先建立好的</w:t>
            </w:r>
            <w:r>
              <w:rPr>
                <w:rFonts w:hint="eastAsia"/>
                <w:lang w:val="en-US" w:eastAsia="zh-CN"/>
              </w:rPr>
              <w:t>虚拟</w:t>
            </w:r>
            <w:r>
              <w:rPr>
                <w:rFonts w:hint="eastAsia" w:eastAsia="宋体"/>
                <w:lang w:val="en-US" w:eastAsia="zh-CN"/>
              </w:rPr>
              <w:t>管理网络，来实现将外部网络中信令流量到达指定的内部虚机。</w:t>
            </w:r>
          </w:p>
          <w:p w14:paraId="154CF0D2">
            <w:pPr>
              <w:jc w:val="left"/>
              <w:rPr>
                <w:rFonts w:hint="default" w:eastAsia="宋体"/>
                <w:lang w:val="en-US" w:eastAsia="zh-CN"/>
              </w:rPr>
            </w:pPr>
            <w:r>
              <w:rPr>
                <w:rFonts w:hint="eastAsia"/>
                <w:lang w:val="en-US" w:eastAsia="zh-CN"/>
              </w:rPr>
              <w:t xml:space="preserve">  本专利提出一种机制，来构建出拓扑实例中用于管理操作的虚拟管理网络，支持接入外部网络的靶场平台发送的网络配置、信息采集、流量发生等信令流量路由到具体拓扑实例节点中，完成拓扑实例构建后执行的各类节点实例管理操作。</w:t>
            </w:r>
          </w:p>
        </w:tc>
      </w:tr>
      <w:tr w14:paraId="63429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36971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6E17A94C">
                  <w:pPr>
                    <w:jc w:val="left"/>
                    <w:rPr>
                      <w:rFonts w:ascii="宋体"/>
                      <w:color w:val="FF0000"/>
                    </w:rPr>
                  </w:pPr>
                  <w:r>
                    <w:rPr>
                      <w:rFonts w:hint="eastAsia"/>
                      <w:b/>
                    </w:rPr>
                    <w:t>三、</w:t>
                  </w:r>
                  <w:r>
                    <w:rPr>
                      <w:rFonts w:hint="eastAsia" w:ascii="宋体" w:hAnsi="宋体" w:cs="宋体"/>
                      <w:b/>
                      <w:bCs/>
                    </w:rPr>
                    <w:t>现有技术存在的问题：</w:t>
                  </w:r>
                  <w:r>
                    <w:rPr>
                      <w:rFonts w:hint="eastAsia" w:ascii="宋体" w:hAnsi="宋体" w:cs="宋体"/>
                    </w:rPr>
                    <w:t>1、客观评价现有技术的缺点，会带来哪些问题（这些缺点是针对本发明的优点来说的，本发明正是要解决这些问题和缺点，本发明不能解决的问题和缺点不必写）。2、如果找不到对比技术方案及其缺点，可用反推法，根据本发明的优点来找出对应的缺点。3、缺点可以是成本高、结构复杂、性能差、工艺繁琐等类似问题。4、针对前面现有技术的所有缺点，逐一正面描述本发明所要解决的技术问题。</w:t>
                  </w:r>
                </w:p>
              </w:tc>
            </w:tr>
            <w:tr w14:paraId="20CE7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9360" w:type="dxa"/>
                  <w:tcBorders>
                    <w:left w:val="single" w:color="auto" w:sz="12" w:space="0"/>
                    <w:right w:val="single" w:color="auto" w:sz="12" w:space="0"/>
                  </w:tcBorders>
                  <w:noWrap w:val="0"/>
                  <w:vAlign w:val="top"/>
                </w:tcPr>
                <w:p w14:paraId="18D25219">
                  <w:pPr>
                    <w:numPr>
                      <w:ilvl w:val="0"/>
                      <w:numId w:val="2"/>
                    </w:numPr>
                    <w:spacing w:before="156" w:beforeLines="50" w:after="156" w:afterLines="50"/>
                    <w:jc w:val="left"/>
                    <w:rPr>
                      <w:rFonts w:hint="default" w:eastAsia="宋体"/>
                      <w:lang w:val="en-US" w:eastAsia="zh-CN"/>
                    </w:rPr>
                  </w:pPr>
                  <w:r>
                    <w:rPr>
                      <w:rFonts w:hint="eastAsia"/>
                      <w:lang w:val="en-US" w:eastAsia="zh-CN"/>
                    </w:rPr>
                    <w:t>用于管理操作的信令流量的网络路由和拓扑实例节点之间的业务流量的网络路由没有完全独立，实例节点之间的业务流量会影响信令流量接收和响应。容易造成管理操作执行异常。</w:t>
                  </w:r>
                </w:p>
                <w:p w14:paraId="2D053C09">
                  <w:pPr>
                    <w:numPr>
                      <w:ilvl w:val="0"/>
                      <w:numId w:val="2"/>
                    </w:numPr>
                    <w:spacing w:before="156" w:beforeLines="50" w:after="156" w:afterLines="50"/>
                    <w:jc w:val="left"/>
                    <w:rPr>
                      <w:rFonts w:hint="default" w:eastAsia="宋体"/>
                      <w:lang w:val="en-US" w:eastAsia="zh-CN"/>
                    </w:rPr>
                  </w:pPr>
                  <w:r>
                    <w:rPr>
                      <w:rFonts w:hint="eastAsia"/>
                      <w:lang w:val="en-US" w:eastAsia="zh-CN"/>
                    </w:rPr>
                    <w:t>拓扑实例节点可以通过虚拟管理网络攻击到靶场平台，异常流量可以发送到靶场平台，容易造成靶场平台的不稳定。</w:t>
                  </w:r>
                </w:p>
                <w:p w14:paraId="58225C59">
                  <w:pPr>
                    <w:numPr>
                      <w:ilvl w:val="0"/>
                      <w:numId w:val="2"/>
                    </w:numPr>
                    <w:spacing w:before="156" w:beforeLines="50" w:after="156" w:afterLines="50"/>
                    <w:ind w:left="0" w:leftChars="0" w:firstLine="0" w:firstLineChars="0"/>
                    <w:jc w:val="left"/>
                    <w:rPr>
                      <w:rFonts w:hint="default" w:eastAsia="宋体"/>
                      <w:lang w:val="en-US" w:eastAsia="zh-CN"/>
                    </w:rPr>
                  </w:pPr>
                  <w:r>
                    <w:rPr>
                      <w:rFonts w:hint="eastAsia"/>
                      <w:lang w:val="en-US" w:eastAsia="zh-CN"/>
                    </w:rPr>
                    <w:t>虚拟管理网络没有针对大规模网络做负载均衡，信令流量的接收和发送容易出现单点故障，造成管理操作执行异常。</w:t>
                  </w:r>
                </w:p>
              </w:tc>
            </w:tr>
          </w:tbl>
          <w:p w14:paraId="1C7B6955"/>
        </w:tc>
      </w:tr>
      <w:tr w14:paraId="6E319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1A66C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17566B72">
                  <w:pPr>
                    <w:jc w:val="left"/>
                    <w:rPr>
                      <w:rFonts w:hint="eastAsia" w:ascii="宋体" w:hAnsi="宋体" w:cs="宋体"/>
                    </w:rPr>
                  </w:pPr>
                  <w:r>
                    <w:rPr>
                      <w:rFonts w:hint="eastAsia"/>
                      <w:b/>
                    </w:rPr>
                    <w:t>四、</w:t>
                  </w:r>
                  <w:r>
                    <w:rPr>
                      <w:rFonts w:hint="eastAsia" w:ascii="宋体" w:hAnsi="宋体" w:cs="宋体"/>
                      <w:b/>
                      <w:bCs/>
                    </w:rPr>
                    <w:t>本发明或实用新型采用的技术方案：</w:t>
                  </w:r>
                  <w:r>
                    <w:rPr>
                      <w:rFonts w:hint="eastAsia" w:ascii="宋体" w:hAnsi="宋体" w:cs="宋体"/>
                    </w:rPr>
                    <w:t>本部分是专利文件中最重要的部分，越详细越好。</w:t>
                  </w:r>
                </w:p>
                <w:p w14:paraId="6E1C96A0">
                  <w:pPr>
                    <w:jc w:val="left"/>
                    <w:rPr>
                      <w:rFonts w:hint="eastAsia" w:ascii="宋体" w:hAnsi="宋体" w:cs="宋体"/>
                    </w:rPr>
                  </w:pPr>
                  <w:r>
                    <w:rPr>
                      <w:rFonts w:hint="eastAsia" w:ascii="宋体" w:hAnsi="宋体" w:cs="宋体"/>
                    </w:rPr>
                    <w:t>1、阐明本发明是通过什么样的技术方案来解决其技术问题的（即实现发明目的），不能只有原理，也不能只作功能介绍，应当详细描述本发明的各个发明改进点及相应的技术方案。</w:t>
                  </w:r>
                </w:p>
                <w:p w14:paraId="7E8052DF">
                  <w:pPr>
                    <w:jc w:val="left"/>
                    <w:rPr>
                      <w:rFonts w:hint="eastAsia" w:ascii="宋体" w:hAnsi="宋体" w:cs="宋体"/>
                    </w:rPr>
                  </w:pPr>
                  <w:r>
                    <w:rPr>
                      <w:rFonts w:hint="eastAsia" w:ascii="宋体" w:hAnsi="宋体" w:cs="宋体"/>
                    </w:rPr>
                    <w:t>2、技术方案应当清楚、完整地描述本发明的技术特征（如构造、组织、形状等）以及作用、原理，以使本领域普通技术人员能够实施本发明为准。</w:t>
                  </w:r>
                </w:p>
                <w:p w14:paraId="007B1791">
                  <w:pPr>
                    <w:jc w:val="left"/>
                    <w:rPr>
                      <w:rFonts w:hint="eastAsia" w:ascii="宋体" w:hAnsi="宋体" w:cs="宋体"/>
                    </w:rPr>
                  </w:pPr>
                  <w:r>
                    <w:rPr>
                      <w:rFonts w:hint="eastAsia" w:ascii="宋体" w:hAnsi="宋体" w:cs="宋体"/>
                    </w:rPr>
                    <w:t>3、对于不同类型的发明创造需采用不同的描述方式来说明其技术方案。例如：对于设备发明，应当具体说明其零部件的结构及其连接关系，必要时结合附图加以说明；对于方法发明，应当具体说明其工艺方法、工艺流程和条件（如时间、压力、温度、浓度）；涉及机电一体化的发明，对于其中与电路有关的内容应当提供电路图、原理框图、流程图或时序图，并结合附图进行具体说明；对于涉及软件、业务（商务）方法的专利申请，除提供流程图外，还应提供相关的系统模块框图，并</w:t>
                  </w:r>
                  <w:r>
                    <w:t>按照流程的时间顺序，以自然语言对各步骤进行描述</w:t>
                  </w:r>
                  <w:r>
                    <w:rPr>
                      <w:rFonts w:hint="eastAsia" w:ascii="宋体" w:hAnsi="宋体" w:cs="宋体"/>
                    </w:rPr>
                    <w:t>。</w:t>
                  </w:r>
                </w:p>
                <w:p w14:paraId="731D22DE">
                  <w:pPr>
                    <w:jc w:val="left"/>
                    <w:rPr>
                      <w:rFonts w:ascii="宋体"/>
                      <w:color w:val="FF0000"/>
                    </w:rPr>
                  </w:pPr>
                  <w:r>
                    <w:rPr>
                      <w:rFonts w:hint="eastAsia" w:ascii="宋体" w:hAnsi="宋体" w:cs="宋体"/>
                    </w:rPr>
                    <w:t>4、所有附图应当有相应的文字描述，图中的关键词或注释尽量用中文。所有英文缩写（除了普遍公认有确定含义的）应有中文注释。注意，附图尽可能提供可编辑格式的版本以便代理人调整，如Visio、CAD、PPT等。</w:t>
                  </w:r>
                </w:p>
              </w:tc>
            </w:tr>
            <w:tr w14:paraId="408C2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739F5C90">
                  <w:pPr>
                    <w:keepNext w:val="0"/>
                    <w:keepLines w:val="0"/>
                    <w:widowControl/>
                    <w:numPr>
                      <w:ilvl w:val="0"/>
                      <w:numId w:val="0"/>
                    </w:numPr>
                    <w:suppressLineNumbers w:val="0"/>
                    <w:jc w:val="left"/>
                    <w:rPr>
                      <w:rFonts w:hint="eastAsia"/>
                      <w:lang w:val="en-US" w:eastAsia="zh-CN"/>
                    </w:rPr>
                  </w:pPr>
                  <w:r>
                    <w:rPr>
                      <w:rFonts w:hint="eastAsia"/>
                      <w:lang w:val="en-US" w:eastAsia="zh-CN"/>
                    </w:rPr>
                    <w:t xml:space="preserve">  针对上述描述的问题。本发明专利，设计了一种虚拟管理网络构建方式，在实现靶场平台能正常向拓扑实例节点发送信令流量的同时，将信令流量和拓扑实例节点之间的业务流量的网络路由分离，同时添加网络防火墙规则，实现拓扑内部实例节点和靶场平台之间的流量控制。同时根据不同拓扑的子网数量，创建出不同的数量的管理网络，实现管理网络信令流量的负载均衡，避免单点造成全局故障。</w:t>
                  </w:r>
                </w:p>
                <w:p w14:paraId="714A0134">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  具体方案详细设计和实现如下：</w:t>
                  </w:r>
                </w:p>
                <w:p w14:paraId="4120B976">
                  <w:pPr>
                    <w:keepNext w:val="0"/>
                    <w:keepLines w:val="0"/>
                    <w:widowControl/>
                    <w:numPr>
                      <w:ilvl w:val="0"/>
                      <w:numId w:val="0"/>
                    </w:numPr>
                    <w:suppressLineNumbers w:val="0"/>
                    <w:jc w:val="left"/>
                    <w:rPr>
                      <w:rFonts w:hint="default"/>
                      <w:lang w:val="en-US" w:eastAsia="zh-CN"/>
                    </w:rPr>
                  </w:pPr>
                  <w:r>
                    <w:drawing>
                      <wp:inline distT="0" distB="0" distL="114300" distR="114300">
                        <wp:extent cx="5800090" cy="3531870"/>
                        <wp:effectExtent l="0" t="0" r="1016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00090" cy="3531870"/>
                                </a:xfrm>
                                <a:prstGeom prst="rect">
                                  <a:avLst/>
                                </a:prstGeom>
                                <a:noFill/>
                                <a:ln>
                                  <a:noFill/>
                                </a:ln>
                              </pic:spPr>
                            </pic:pic>
                          </a:graphicData>
                        </a:graphic>
                      </wp:inline>
                    </w:drawing>
                  </w:r>
                </w:p>
                <w:p w14:paraId="7D29B384">
                  <w:pPr>
                    <w:keepNext w:val="0"/>
                    <w:keepLines w:val="0"/>
                    <w:widowControl/>
                    <w:numPr>
                      <w:ilvl w:val="0"/>
                      <w:numId w:val="0"/>
                    </w:numPr>
                    <w:suppressLineNumbers w:val="0"/>
                    <w:jc w:val="left"/>
                    <w:rPr>
                      <w:rFonts w:hint="default" w:eastAsia="宋体"/>
                      <w:lang w:val="en-US" w:eastAsia="zh-CN"/>
                    </w:rPr>
                  </w:pPr>
                </w:p>
                <w:p w14:paraId="03D613DB">
                  <w:pPr>
                    <w:keepNext w:val="0"/>
                    <w:keepLines w:val="0"/>
                    <w:widowControl/>
                    <w:suppressLineNumbers w:val="0"/>
                    <w:ind w:firstLine="420" w:firstLineChars="200"/>
                    <w:jc w:val="left"/>
                    <w:rPr>
                      <w:rFonts w:hint="eastAsia"/>
                      <w:lang w:val="en-US" w:eastAsia="zh-CN"/>
                    </w:rPr>
                  </w:pPr>
                  <w:r>
                    <w:rPr>
                      <w:rFonts w:hint="eastAsia"/>
                      <w:lang w:val="en-US" w:eastAsia="zh-CN"/>
                    </w:rPr>
                    <w:t>如上图所示，在拓扑实例1中，虚拟节点a、业务网络交换机a、虚拟节点b、虚拟业务网络路由器、  业务网络交换机b、虚拟节点c、虚拟节点d共7个节点为拓扑实例1的业务节点，即靶场平台用户查看拓扑实例1时，能之间查看到的节点。内部管理网络交换机a、内部管理网络交换机b、内部核心路由器为针对拓扑实例1的业务网络对应构建出的管理网络路由。虚拟配置采集代理a、虚拟配置采集代理b为拓扑实例1中业务网络映射的管理网络对应的配置和采集代理虚拟，用作连接到当前内部管理网络交换机的所有业务节点的配置和采集管理操作。此外，每个业务网络交换机都会对应接入一个流量发生仪trex，用于对当前的业务网络交换机所有接入的业务节点执行流量发生等流量管理操作。这些所有内部管理网络交换机都会统一接入到一个内部核心路由器。内部核心路由器，会和外部预先创建好的SN核心路由连接。同时开启SNAT，支持所有的虚拟配置采集代理以及流量发生仪trex主动向外部的靶场平台上报采集数据、查询配置和流量操作。</w:t>
                  </w:r>
                </w:p>
                <w:p w14:paraId="3B26B8D5">
                  <w:pPr>
                    <w:keepNext w:val="0"/>
                    <w:keepLines w:val="0"/>
                    <w:widowControl/>
                    <w:suppressLineNumbers w:val="0"/>
                    <w:jc w:val="left"/>
                    <w:rPr>
                      <w:rFonts w:hint="eastAsia"/>
                      <w:lang w:val="en-US" w:eastAsia="zh-CN"/>
                    </w:rPr>
                  </w:pPr>
                  <w:r>
                    <w:rPr>
                      <w:rFonts w:hint="eastAsia"/>
                      <w:lang w:val="en-US" w:eastAsia="zh-CN"/>
                    </w:rPr>
                    <w:t xml:space="preserve">  下面详细描述虚拟管理网络时如何随着拓扑实例构建的，以及创建出的虚拟管理网络是如何实现靶场平台管理操作的信令流量下发到靶场实例内部的虚拟配置采集代理和流量发生仪器trex的。</w:t>
                  </w:r>
                </w:p>
                <w:p w14:paraId="1D66DB81">
                  <w:pPr>
                    <w:keepNext w:val="0"/>
                    <w:keepLines w:val="0"/>
                    <w:widowControl/>
                    <w:numPr>
                      <w:ilvl w:val="0"/>
                      <w:numId w:val="3"/>
                    </w:numPr>
                    <w:suppressLineNumbers w:val="0"/>
                    <w:ind w:left="210" w:leftChars="0" w:firstLine="0" w:firstLineChars="0"/>
                    <w:jc w:val="left"/>
                    <w:rPr>
                      <w:rFonts w:hint="default"/>
                      <w:lang w:val="en-US" w:eastAsia="zh-CN"/>
                    </w:rPr>
                  </w:pPr>
                  <w:r>
                    <w:rPr>
                      <w:rFonts w:hint="eastAsia"/>
                      <w:lang w:val="en-US" w:eastAsia="zh-CN"/>
                    </w:rPr>
                    <w:t>创建预定义的SN管理网络交换机和SN核心路由器</w:t>
                  </w:r>
                </w:p>
                <w:p w14:paraId="0EE70837">
                  <w:pPr>
                    <w:keepNext w:val="0"/>
                    <w:keepLines w:val="0"/>
                    <w:widowControl/>
                    <w:numPr>
                      <w:ilvl w:val="0"/>
                      <w:numId w:val="0"/>
                    </w:numPr>
                    <w:suppressLineNumbers w:val="0"/>
                    <w:ind w:left="210" w:leftChars="0"/>
                    <w:jc w:val="left"/>
                    <w:rPr>
                      <w:rFonts w:hint="default"/>
                      <w:lang w:val="en-US" w:eastAsia="zh-CN"/>
                    </w:rPr>
                  </w:pPr>
                  <w:r>
                    <w:rPr>
                      <w:rFonts w:hint="eastAsia"/>
                      <w:lang w:val="en-US" w:eastAsia="zh-CN"/>
                    </w:rPr>
                    <w:t xml:space="preserve">  在安装靶场平台时，我们会预先建好一个固定的外部网络交换机-SN管理网络交换机，靶场平台所部署的虚拟机会固定接入SN管理网络交换机中。同时也会预先创建好一个SN核心路由器，用于拓扑实例内部的管理网络和外部靶场平台网络之间进行路由。因此，SN管理网络交换机也会预先固定接入到SN核心路由器中。</w:t>
                  </w:r>
                </w:p>
                <w:p w14:paraId="3A21CCA0">
                  <w:pPr>
                    <w:keepNext w:val="0"/>
                    <w:keepLines w:val="0"/>
                    <w:widowControl/>
                    <w:numPr>
                      <w:ilvl w:val="0"/>
                      <w:numId w:val="4"/>
                    </w:numPr>
                    <w:suppressLineNumbers w:val="0"/>
                    <w:ind w:left="210" w:leftChars="0"/>
                    <w:jc w:val="left"/>
                    <w:rPr>
                      <w:rFonts w:hint="default"/>
                      <w:lang w:val="en-US" w:eastAsia="zh-CN"/>
                    </w:rPr>
                  </w:pPr>
                  <w:r>
                    <w:rPr>
                      <w:rFonts w:hint="eastAsia"/>
                      <w:lang w:val="en-US" w:eastAsia="zh-CN"/>
                    </w:rPr>
                    <w:t>拓扑实例内部业务网络交换机创建</w:t>
                  </w:r>
                </w:p>
                <w:p w14:paraId="1F2E8904">
                  <w:pPr>
                    <w:keepNext w:val="0"/>
                    <w:keepLines w:val="0"/>
                    <w:widowControl/>
                    <w:suppressLineNumbers w:val="0"/>
                    <w:ind w:firstLine="420" w:firstLineChars="200"/>
                    <w:jc w:val="left"/>
                    <w:rPr>
                      <w:rFonts w:hint="eastAsia"/>
                      <w:lang w:val="en-US" w:eastAsia="zh-CN"/>
                    </w:rPr>
                  </w:pPr>
                  <w:r>
                    <w:rPr>
                      <w:rFonts w:hint="eastAsia"/>
                      <w:lang w:val="en-US" w:eastAsia="zh-CN"/>
                    </w:rPr>
                    <w:t>我们以图中拓扑实例1的业务网络为例。我们会首先分别创建出业务网络交换机a和业务网络交换机b。业务网络交换机a和业务网络交换机b分别是两个独立的子网。这两个子网的值是默认从10.128.0.0/24 到10.255.255.0/24这32768个子网中随机选取两个。一个业务子网获取网段的随机算法如下：</w:t>
                  </w:r>
                </w:p>
                <w:p w14:paraId="56261F26">
                  <w:pPr>
                    <w:keepNext w:val="0"/>
                    <w:keepLines w:val="0"/>
                    <w:widowControl/>
                    <w:numPr>
                      <w:ilvl w:val="1"/>
                      <w:numId w:val="0"/>
                    </w:numPr>
                    <w:suppressLineNumbers w:val="0"/>
                    <w:ind w:left="0" w:leftChars="0" w:firstLine="420" w:firstLineChars="200"/>
                    <w:jc w:val="left"/>
                    <w:rPr>
                      <w:rFonts w:hint="eastAsia"/>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.1</w:t>
                  </w:r>
                  <w:r>
                    <w:rPr>
                      <w:rFonts w:hint="eastAsia" w:cs="Times New Roman"/>
                      <w:kern w:val="2"/>
                      <w:sz w:val="21"/>
                      <w:lang w:val="en-US" w:eastAsia="zh-CN" w:bidi="ar-SA"/>
                    </w:rPr>
                    <w:t xml:space="preserve"> </w:t>
                  </w:r>
                  <w:r>
                    <w:rPr>
                      <w:rFonts w:hint="eastAsia"/>
                      <w:lang w:val="en-US" w:eastAsia="zh-CN"/>
                    </w:rPr>
                    <w:t>Set&lt;E&gt; 记录当前拓扑已经分配的子网值，例如{ 1, 2}。Lock&lt;Set&lt;E&gt;&gt;为拓扑实例1的业务子网分配锁。所有的业务子网设置cidr时，需要先获取Lock&lt;Set&lt;E&gt;&gt;锁。</w:t>
                  </w:r>
                </w:p>
                <w:p w14:paraId="49BADFB1">
                  <w:pPr>
                    <w:keepNext w:val="0"/>
                    <w:keepLines w:val="0"/>
                    <w:widowControl/>
                    <w:numPr>
                      <w:ilvl w:val="1"/>
                      <w:numId w:val="0"/>
                    </w:numPr>
                    <w:suppressLineNumbers w:val="0"/>
                    <w:ind w:left="0" w:leftChars="0" w:firstLine="420" w:firstLineChars="200"/>
                    <w:jc w:val="left"/>
                    <w:rPr>
                      <w:rFonts w:hint="default"/>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.2</w:t>
                  </w:r>
                  <w:r>
                    <w:rPr>
                      <w:rFonts w:hint="eastAsia"/>
                      <w:lang w:val="en-US" w:eastAsia="zh-CN"/>
                    </w:rPr>
                    <w:t>调用Random函数，输入种子为当前时间，获取一个范围为[0,1]的浮点数n。</w:t>
                  </w:r>
                </w:p>
                <w:p w14:paraId="71D31E91">
                  <w:pPr>
                    <w:keepNext w:val="0"/>
                    <w:keepLines w:val="0"/>
                    <w:widowControl/>
                    <w:numPr>
                      <w:ilvl w:val="1"/>
                      <w:numId w:val="0"/>
                    </w:numPr>
                    <w:suppressLineNumbers w:val="0"/>
                    <w:ind w:left="0" w:leftChars="0" w:firstLine="420" w:firstLineChars="200"/>
                    <w:jc w:val="left"/>
                    <w:rPr>
                      <w:rFonts w:hint="default"/>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.3</w:t>
                  </w:r>
                  <w:r>
                    <w:rPr>
                      <w:rFonts w:hint="eastAsia"/>
                      <w:lang w:val="en-US" w:eastAsia="zh-CN"/>
                    </w:rPr>
                    <w:t>当前网络子网值Vcidr为32768乘于上一步获取的随机数n，再向下取整。</w:t>
                  </w:r>
                </w:p>
                <w:p w14:paraId="6465A98B">
                  <w:pPr>
                    <w:keepNext w:val="0"/>
                    <w:keepLines w:val="0"/>
                    <w:widowControl/>
                    <w:numPr>
                      <w:ilvl w:val="1"/>
                      <w:numId w:val="0"/>
                    </w:numPr>
                    <w:suppressLineNumbers w:val="0"/>
                    <w:ind w:left="0" w:leftChars="0" w:firstLine="420" w:firstLineChars="200"/>
                    <w:jc w:val="left"/>
                    <w:rPr>
                      <w:rFonts w:hint="default"/>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.4</w:t>
                  </w:r>
                  <w:r>
                    <w:rPr>
                      <w:rFonts w:hint="eastAsia"/>
                      <w:lang w:val="en-US" w:eastAsia="zh-CN"/>
                    </w:rPr>
                    <w:t>等待获取Lock&lt;Set&lt;E&gt;&gt;锁</w:t>
                  </w:r>
                </w:p>
                <w:p w14:paraId="75FC2DF7">
                  <w:pPr>
                    <w:keepNext w:val="0"/>
                    <w:keepLines w:val="0"/>
                    <w:widowControl/>
                    <w:numPr>
                      <w:ilvl w:val="1"/>
                      <w:numId w:val="0"/>
                    </w:numPr>
                    <w:suppressLineNumbers w:val="0"/>
                    <w:ind w:left="0" w:leftChars="0" w:firstLine="420" w:firstLineChars="200"/>
                    <w:jc w:val="left"/>
                    <w:rPr>
                      <w:rFonts w:hint="default"/>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.5</w:t>
                  </w:r>
                  <w:r>
                    <w:rPr>
                      <w:rFonts w:hint="eastAsia"/>
                      <w:lang w:val="en-US" w:eastAsia="zh-CN"/>
                    </w:rPr>
                    <w:t>检查Set&lt;E&gt;是否包含当前网络子网值Vcidr，如果包含，Vcidr = Vcidr + 1，直到Vcidr不存在于Set&lt;E&gt;中。例如，如果Vcidr第一次随机的值为1，1已经包含在Set&lt;E&gt;中了，则Vcidr = Vcidr + 1 = 2。2仍然包含在Set&lt;E&gt;中，Vcidr = Vcidr + 1 = 3。3没有在Set&lt;E&gt;中，则Vcidr = 3，可以执行下一步了。</w:t>
                  </w:r>
                </w:p>
                <w:p w14:paraId="13AFD2F6">
                  <w:pPr>
                    <w:keepNext w:val="0"/>
                    <w:keepLines w:val="0"/>
                    <w:widowControl/>
                    <w:numPr>
                      <w:ilvl w:val="1"/>
                      <w:numId w:val="0"/>
                    </w:numPr>
                    <w:suppressLineNumbers w:val="0"/>
                    <w:ind w:left="0" w:leftChars="0" w:firstLine="420" w:firstLineChars="200"/>
                    <w:jc w:val="left"/>
                    <w:rPr>
                      <w:rFonts w:hint="default"/>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.6</w:t>
                  </w:r>
                  <w:r>
                    <w:rPr>
                      <w:rFonts w:hint="eastAsia"/>
                      <w:lang w:val="en-US" w:eastAsia="zh-CN"/>
                    </w:rPr>
                    <w:t>将Vcidr加入到Set&lt;E&gt;中后，释放Lock&lt;Set&lt;E&gt;&gt;锁</w:t>
                  </w:r>
                </w:p>
                <w:p w14:paraId="24C31018">
                  <w:pPr>
                    <w:keepNext w:val="0"/>
                    <w:keepLines w:val="0"/>
                    <w:widowControl/>
                    <w:numPr>
                      <w:ilvl w:val="1"/>
                      <w:numId w:val="0"/>
                    </w:numPr>
                    <w:suppressLineNumbers w:val="0"/>
                    <w:ind w:left="0" w:leftChars="0" w:firstLine="420" w:firstLineChars="200"/>
                    <w:jc w:val="left"/>
                    <w:rPr>
                      <w:rFonts w:hint="default"/>
                      <w:lang w:val="en-US" w:eastAsia="zh-CN"/>
                    </w:rPr>
                  </w:pPr>
                  <w:r>
                    <w:rPr>
                      <w:rFonts w:hint="eastAsia" w:cs="Times New Roman"/>
                      <w:kern w:val="2"/>
                      <w:sz w:val="21"/>
                      <w:lang w:val="en-US" w:eastAsia="zh-CN" w:bidi="ar-SA"/>
                    </w:rPr>
                    <w:t>2</w:t>
                  </w:r>
                  <w:r>
                    <w:rPr>
                      <w:rFonts w:hint="default" w:ascii="Times New Roman" w:hAnsi="Times New Roman" w:eastAsia="宋体" w:cs="Times New Roman"/>
                      <w:kern w:val="2"/>
                      <w:sz w:val="21"/>
                      <w:lang w:val="en-US" w:eastAsia="zh-CN" w:bidi="ar-SA"/>
                    </w:rPr>
                    <w:t>.7</w:t>
                  </w:r>
                  <w:r>
                    <w:rPr>
                      <w:rFonts w:hint="eastAsia"/>
                      <w:lang w:val="en-US" w:eastAsia="zh-CN"/>
                    </w:rPr>
                    <w:t xml:space="preserve">当前业务子网的网段为“10.”+ IntToStr((Vcidr &gt;&gt; 8) &amp; 0xFF + 128)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IntToStr(Vcidr &amp; 0xFF)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0/24</w:t>
                  </w:r>
                  <w:r>
                    <w:rPr>
                      <w:rFonts w:hint="default"/>
                      <w:lang w:val="en-US" w:eastAsia="zh-CN"/>
                    </w:rPr>
                    <w:t>”</w:t>
                  </w:r>
                  <w:r>
                    <w:rPr>
                      <w:rFonts w:hint="eastAsia"/>
                      <w:lang w:val="en-US" w:eastAsia="zh-CN"/>
                    </w:rPr>
                    <w:t>。即ipv4地址第一段固定为10，第二段的值为Vcidr向右偏移8位后和0xFF进行AND位运算然后加上128，第三段的值为Vcidr和0xFF进行AND位运算，第四段的值固定为0，掩码固定为24位。</w:t>
                  </w:r>
                </w:p>
                <w:p w14:paraId="13C8A93C">
                  <w:pPr>
                    <w:keepNext w:val="0"/>
                    <w:keepLines w:val="0"/>
                    <w:widowControl/>
                    <w:numPr>
                      <w:ilvl w:val="0"/>
                      <w:numId w:val="4"/>
                    </w:numPr>
                    <w:suppressLineNumbers w:val="0"/>
                    <w:ind w:left="210" w:leftChars="0" w:firstLine="0" w:firstLineChars="0"/>
                    <w:jc w:val="left"/>
                    <w:rPr>
                      <w:rFonts w:hint="default"/>
                      <w:lang w:val="en-US" w:eastAsia="zh-CN"/>
                    </w:rPr>
                  </w:pPr>
                  <w:r>
                    <w:rPr>
                      <w:rFonts w:hint="eastAsia"/>
                      <w:lang w:val="en-US" w:eastAsia="zh-CN"/>
                    </w:rPr>
                    <w:t>拓扑实例内部管理网络构建</w:t>
                  </w:r>
                </w:p>
                <w:p w14:paraId="047B518F">
                  <w:pPr>
                    <w:keepNext w:val="0"/>
                    <w:keepLines w:val="0"/>
                    <w:widowControl/>
                    <w:numPr>
                      <w:ilvl w:val="0"/>
                      <w:numId w:val="0"/>
                    </w:numPr>
                    <w:suppressLineNumbers w:val="0"/>
                    <w:ind w:left="210" w:leftChars="0" w:firstLine="420" w:firstLineChars="200"/>
                    <w:jc w:val="left"/>
                    <w:rPr>
                      <w:rFonts w:hint="eastAsia"/>
                      <w:lang w:val="en-US" w:eastAsia="zh-CN"/>
                    </w:rPr>
                  </w:pPr>
                  <w:r>
                    <w:rPr>
                      <w:rFonts w:hint="eastAsia"/>
                      <w:lang w:val="en-US" w:eastAsia="zh-CN"/>
                    </w:rPr>
                    <w:t>步骤2已经创建出了拓扑实例的所有业务网络交换机。交换机所在的网段默认是24位掩码，最多可以支持254个主机接入。一个大型的拓扑实例，会创建出几百甚至上千的业务网络交换机，支持接入十万级别数目的主机接入。为了实现主机的信息采集、网络配置下发和流量发生，不可能靶场平台直接和这些主机接入到同一个内部管理子网中。首先如果都接入到同一个内部管理子网中，这些机器会首先发送ARP广播包，该内部管理子网承载流量压力巨大，同时内部管理子网中的主机数目过多，每个主机的ARP缓存表也过大。其次靶场平台需要通过该内部管理子网下发主机网络配置、信息采集、流量发送等管理信令，所有的信令流量都依赖于同一个内部管理子网，容易造成网络阻塞，信令流量发送和接收失败。同时所有主机都接入到同一个内部管理子网，主机之间可以直接通过该子网直接进行通信，破坏了当前拓扑实例业务网络的逻辑。就此，针对性设计出了下面的内部管理网络构建方案。</w:t>
                  </w:r>
                </w:p>
                <w:p w14:paraId="2FCB1ED4">
                  <w:pPr>
                    <w:keepNext w:val="0"/>
                    <w:keepLines w:val="0"/>
                    <w:widowControl/>
                    <w:numPr>
                      <w:ilvl w:val="1"/>
                      <w:numId w:val="4"/>
                    </w:numPr>
                    <w:suppressLineNumbers w:val="0"/>
                    <w:ind w:left="420" w:leftChars="0" w:firstLine="0" w:firstLineChars="0"/>
                    <w:jc w:val="left"/>
                    <w:rPr>
                      <w:rFonts w:hint="default"/>
                      <w:lang w:val="en-US" w:eastAsia="zh-CN"/>
                    </w:rPr>
                  </w:pPr>
                  <w:r>
                    <w:rPr>
                      <w:rFonts w:hint="eastAsia"/>
                      <w:lang w:val="en-US" w:eastAsia="zh-CN"/>
                    </w:rPr>
                    <w:t>每个内部业务网络交换机对应一个内部管理网络交换机，每个内部管理网络交换机对应一个虚拟配置采集代理节点，每个内部管理网络交换机对应一个流量发生仪trex。</w:t>
                  </w:r>
                </w:p>
                <w:p w14:paraId="4671E3A9">
                  <w:pPr>
                    <w:keepNext w:val="0"/>
                    <w:keepLines w:val="0"/>
                    <w:widowControl/>
                    <w:numPr>
                      <w:numId w:val="0"/>
                    </w:numPr>
                    <w:suppressLineNumbers w:val="0"/>
                    <w:ind w:left="420" w:leftChars="0" w:firstLine="420" w:firstLineChars="200"/>
                    <w:jc w:val="left"/>
                    <w:rPr>
                      <w:rFonts w:hint="eastAsia"/>
                      <w:lang w:val="en-US" w:eastAsia="zh-CN"/>
                    </w:rPr>
                  </w:pPr>
                  <w:r>
                    <w:rPr>
                      <w:rFonts w:hint="eastAsia"/>
                      <w:lang w:val="en-US" w:eastAsia="zh-CN"/>
                    </w:rPr>
                    <w:t>3.1.1 根据内部业务网络交换机所在网段，计算内部管理交换机的网段。根据步骤2描述的内部业务交换机网络计算算法可以知道，每个业务网络的网段都是不一样的。且所有的业务网络的IPv4网段前9位都是固定的，即前8位的值加起来是10，第9位都是1。如果一个业务网络交换机对应的网段为10.b.c.0/24，那么其对应的内部管理网络交换机的网段为10.(b-128).c.0/24。即一个业务网络交换机所在的网段要得到与其对应的内部管理网络交换机的网段，只需要将业务网络交换机所在网络的网络的第9为从1翻转到0，其它23位都保持一样，掩码也都是24位。</w:t>
                  </w:r>
                </w:p>
                <w:p w14:paraId="6304BF8D">
                  <w:pPr>
                    <w:keepNext w:val="0"/>
                    <w:keepLines w:val="0"/>
                    <w:widowControl/>
                    <w:numPr>
                      <w:numId w:val="0"/>
                    </w:numPr>
                    <w:suppressLineNumbers w:val="0"/>
                    <w:ind w:left="420" w:leftChars="0" w:firstLine="420" w:firstLineChars="200"/>
                    <w:jc w:val="left"/>
                    <w:rPr>
                      <w:rFonts w:hint="eastAsia"/>
                      <w:lang w:val="en-US" w:eastAsia="zh-CN"/>
                    </w:rPr>
                  </w:pPr>
                  <w:r>
                    <w:rPr>
                      <w:rFonts w:hint="eastAsia"/>
                      <w:lang w:val="en-US" w:eastAsia="zh-CN"/>
                    </w:rPr>
                    <w:t>3.1.2 每个拓扑实例中的虚拟业务节点创建时，至少需要接入两个内部的网络交换机，一个是内部业务网络交换机，还有这个内部业务网络交换机对应的内部管理网络交换机。同时该虚拟业务节点设置的默认路由应该为所在的业务网络的路由，不需要针对所在的内部管理网络设置路由。因为虚拟业务节点只会和内部管理网络中的虚拟配置采集节点和流量发生仪器trex直接通信。它们直接的通信是同一个局域网内部，不需要通过任何路由。例如图中的拓扑实例1中的虚拟节点a，它只需要一条默认路由，网关是虚拟业务路由器接入业务网络交换机a的那个端口的ip地址。</w:t>
                  </w:r>
                </w:p>
                <w:p w14:paraId="6051C139">
                  <w:pPr>
                    <w:keepNext w:val="0"/>
                    <w:keepLines w:val="0"/>
                    <w:widowControl/>
                    <w:numPr>
                      <w:numId w:val="0"/>
                    </w:numPr>
                    <w:suppressLineNumbers w:val="0"/>
                    <w:ind w:left="420" w:leftChars="0" w:firstLine="420" w:firstLineChars="200"/>
                    <w:jc w:val="left"/>
                    <w:rPr>
                      <w:rFonts w:hint="eastAsia"/>
                      <w:lang w:val="en-US" w:eastAsia="zh-CN"/>
                    </w:rPr>
                  </w:pPr>
                  <w:r>
                    <w:rPr>
                      <w:rFonts w:hint="eastAsia"/>
                      <w:lang w:val="en-US" w:eastAsia="zh-CN"/>
                    </w:rPr>
                    <w:t>3.1.3 每个内部管理网络交换机对应创建一个虚拟配置采集代理节点，该节点只会接入其对应的内部管理网络交换机，负责所有接入该内部管理网络交换机的业务节点的网络配置操作。例如在拓扑实例1中，我们需要针对虚拟节点a设置其接入内部业务网络交换机的那张网卡的DNS设置为1.1.1.1。靶场平台无法直接连接指定拓扑实例中的指定业务节点，下发配置。它是通过拓扑实例中的虚拟配置采集代理节点，下发业务节点的网络配置信息，完成网络配置。关于虚拟配置采集代理系统详细实现可以参考我们公司专利《网络靶场中基于配置代理的自动配置方法与系统》</w:t>
                  </w:r>
                </w:p>
                <w:p w14:paraId="02C9D624">
                  <w:pPr>
                    <w:keepNext w:val="0"/>
                    <w:keepLines w:val="0"/>
                    <w:widowControl/>
                    <w:numPr>
                      <w:numId w:val="0"/>
                    </w:numPr>
                    <w:suppressLineNumbers w:val="0"/>
                    <w:ind w:left="420" w:leftChars="0" w:firstLine="420" w:firstLineChars="200"/>
                    <w:jc w:val="left"/>
                    <w:rPr>
                      <w:rFonts w:hint="default"/>
                      <w:lang w:val="en-US" w:eastAsia="zh-CN"/>
                    </w:rPr>
                  </w:pPr>
                  <w:r>
                    <w:rPr>
                      <w:rFonts w:hint="eastAsia"/>
                      <w:lang w:val="en-US" w:eastAsia="zh-CN"/>
                    </w:rPr>
                    <w:t>3.1.4 每个内部管理网络交换机对应创建一个流量发生仪trex，该节点会同时接入当前的内部管理网络交换机和该内部管理网络交换机对应的内部业务网络交换机，负责对该内部业务网络交换机下所有接入的业务节点执行实际的流量发生业务。具体流量发生业务详细描述，可以参考我们公司的专利《一种网络靶场流量自动发生方法与系统》</w:t>
                  </w:r>
                </w:p>
                <w:p w14:paraId="4BE7D38A">
                  <w:pPr>
                    <w:keepNext w:val="0"/>
                    <w:keepLines w:val="0"/>
                    <w:widowControl/>
                    <w:numPr>
                      <w:numId w:val="0"/>
                    </w:numPr>
                    <w:suppressLineNumbers w:val="0"/>
                    <w:jc w:val="left"/>
                    <w:rPr>
                      <w:rFonts w:hint="default"/>
                      <w:lang w:val="en-US" w:eastAsia="zh-CN"/>
                    </w:rPr>
                  </w:pPr>
                </w:p>
                <w:p w14:paraId="0C24D950">
                  <w:pPr>
                    <w:keepNext w:val="0"/>
                    <w:keepLines w:val="0"/>
                    <w:widowControl/>
                    <w:numPr>
                      <w:ilvl w:val="1"/>
                      <w:numId w:val="4"/>
                    </w:numPr>
                    <w:suppressLineNumbers w:val="0"/>
                    <w:ind w:left="420" w:leftChars="0" w:firstLine="0" w:firstLineChars="0"/>
                    <w:jc w:val="left"/>
                    <w:rPr>
                      <w:rFonts w:hint="default"/>
                      <w:lang w:val="en-US" w:eastAsia="zh-CN"/>
                    </w:rPr>
                  </w:pPr>
                  <w:r>
                    <w:rPr>
                      <w:rFonts w:hint="eastAsia"/>
                      <w:lang w:val="en-US" w:eastAsia="zh-CN"/>
                    </w:rPr>
                    <w:t>根据内部管理网络交换机接入的节点数量，创建内部核心路由器，同时将内部核心路由器与外部预先建立的SN核心路由器连接。</w:t>
                  </w:r>
                </w:p>
                <w:p w14:paraId="27DFCADB">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3.2.1 根据内部管理网络交换机接入节点数量创建出合理数量的内部核心路由器，来做靶场平台和内部管理网络交换机接入的虚拟代理直接的信令流量的负载均衡。现在默认固定每300台接入节点，分配一个内部核心路由器。具体算法如下：</w:t>
                  </w:r>
                </w:p>
                <w:p w14:paraId="3896BB2B">
                  <w:pPr>
                    <w:keepNext w:val="0"/>
                    <w:keepLines w:val="0"/>
                    <w:widowControl/>
                    <w:numPr>
                      <w:numId w:val="0"/>
                    </w:numPr>
                    <w:suppressLineNumbers w:val="0"/>
                    <w:ind w:left="420" w:leftChars="0"/>
                    <w:jc w:val="left"/>
                    <w:rPr>
                      <w:rFonts w:hint="default"/>
                      <w:lang w:val="en-US" w:eastAsia="zh-CN"/>
                    </w:rPr>
                  </w:pPr>
                  <w:r>
                    <w:rPr>
                      <w:rFonts w:hint="eastAsia"/>
                      <w:lang w:val="en-US" w:eastAsia="zh-CN"/>
                    </w:rPr>
                    <w:t xml:space="preserve">        3.2.1.1 当前有内部管理网络交换机a、b、c、d、e，接入它们的节点数量，分别为Na、Nb、Nc、Nd、Ne， 用Set(N)存放，当前节点总数计数标记为C，初始化值为0。每个内部管理网络交换机接入的内部核心路由器标记记录为Ia、Ib、Ic、Id、Ie， 使用Map&lt;M,I&gt;记录内部管理网络交换机和其对于内部核心路由器标记的映射关系，当前路由标记为R，初始化值为0。默认固定T台接入节点分配一个内部核心路由器。T默认值为300。</w:t>
                  </w:r>
                </w:p>
                <w:p w14:paraId="6CBC04EF">
                  <w:pPr>
                    <w:keepNext w:val="0"/>
                    <w:keepLines w:val="0"/>
                    <w:widowControl/>
                    <w:numPr>
                      <w:numId w:val="0"/>
                    </w:numPr>
                    <w:suppressLineNumbers w:val="0"/>
                    <w:ind w:left="420" w:leftChars="0"/>
                    <w:jc w:val="left"/>
                    <w:rPr>
                      <w:rFonts w:hint="default"/>
                      <w:lang w:val="en-US" w:eastAsia="zh-CN"/>
                    </w:rPr>
                  </w:pPr>
                  <w:r>
                    <w:rPr>
                      <w:rFonts w:hint="eastAsia"/>
                      <w:lang w:val="en-US" w:eastAsia="zh-CN"/>
                    </w:rPr>
                    <w:t xml:space="preserve">        3.2.1.2 遍历Set(N)，对于其中的某一个元素的值Nx来说，做下面操作</w:t>
                  </w:r>
                </w:p>
                <w:p w14:paraId="18755F11">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3.2.1.3 如果Nx &gt; T/2, Map&lt;M,I&gt;记录key=x, value=R。R = R + 1。</w:t>
                  </w:r>
                </w:p>
                <w:p w14:paraId="6BE0391F">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3.2.1.4 如果Nx &lt; T/2, C = C + Nx, 如果C &lt; T, Map&lt;M,I&gt;记录key=x, value=R。如果C &gt; T，Map&lt;M,I&gt;记录key=x, value = R + 1。C = 0, R = R+1。</w:t>
                  </w:r>
                </w:p>
                <w:p w14:paraId="4B92B8F8">
                  <w:pPr>
                    <w:keepNext w:val="0"/>
                    <w:keepLines w:val="0"/>
                    <w:widowControl/>
                    <w:numPr>
                      <w:numId w:val="0"/>
                    </w:numPr>
                    <w:suppressLineNumbers w:val="0"/>
                    <w:ind w:left="420" w:leftChars="0"/>
                    <w:jc w:val="left"/>
                    <w:rPr>
                      <w:rFonts w:hint="default"/>
                      <w:lang w:val="en-US" w:eastAsia="zh-CN"/>
                    </w:rPr>
                  </w:pPr>
                  <w:r>
                    <w:rPr>
                      <w:rFonts w:hint="eastAsia"/>
                      <w:lang w:val="en-US" w:eastAsia="zh-CN"/>
                    </w:rPr>
                    <w:t xml:space="preserve">      执行完以上算法，保证每个内部核心路由器所接入的内部管理网络路由器下面所有接入的业务节点总数不超过T，需要创建的内部核心路由器的数量为R，每个管理网络路由器对于需要接入的内部核心路由器关系可以查询Map&lt;M,I&gt;</w:t>
                  </w:r>
                </w:p>
                <w:p w14:paraId="74EBB01A">
                  <w:pPr>
                    <w:keepNext w:val="0"/>
                    <w:keepLines w:val="0"/>
                    <w:widowControl/>
                    <w:numPr>
                      <w:numId w:val="0"/>
                    </w:numPr>
                    <w:suppressLineNumbers w:val="0"/>
                    <w:ind w:left="420" w:leftChars="0"/>
                    <w:jc w:val="left"/>
                    <w:rPr>
                      <w:rFonts w:hint="default"/>
                      <w:lang w:val="en-US" w:eastAsia="zh-CN"/>
                    </w:rPr>
                  </w:pPr>
                  <w:r>
                    <w:rPr>
                      <w:rFonts w:hint="eastAsia"/>
                      <w:lang w:val="en-US" w:eastAsia="zh-CN"/>
                    </w:rPr>
                    <w:t xml:space="preserve">    </w:t>
                  </w:r>
                </w:p>
                <w:p w14:paraId="6BB1D107">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3.2.2 内部核心路由器与SN核心路由器连接时，需要合理分配连接线路所占用的网段。</w:t>
                  </w:r>
                </w:p>
                <w:p w14:paraId="056D2882">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 xml:space="preserve">  每一条内部核心路由器与SN核心路由器的连接线路所占用的网段的掩码都是30位。网段需要在所有拓扑实例之间不重复。即获取分配的网段之前，先需要获取一个靶场平台唯一的锁。且该网络网段前8位值默认位99。即网段值的范围为99.0.0.0/30 到99.0.0.252/30。即共有2的22次方4194304个子网可以选择。具体获取子网网段的算法类似于上面提到的步骤2。</w:t>
                  </w:r>
                </w:p>
                <w:p w14:paraId="7B7A3EC2">
                  <w:pPr>
                    <w:keepNext w:val="0"/>
                    <w:keepLines w:val="0"/>
                    <w:widowControl/>
                    <w:numPr>
                      <w:ilvl w:val="1"/>
                      <w:numId w:val="0"/>
                    </w:numPr>
                    <w:suppressLineNumbers w:val="0"/>
                    <w:ind w:left="0" w:leftChars="0" w:firstLine="1260" w:firstLineChars="600"/>
                    <w:jc w:val="left"/>
                    <w:rPr>
                      <w:rFonts w:hint="eastAsia"/>
                      <w:lang w:val="en-US" w:eastAsia="zh-CN"/>
                    </w:rPr>
                  </w:pPr>
                  <w:r>
                    <w:rPr>
                      <w:rFonts w:hint="eastAsia" w:cs="Times New Roman"/>
                      <w:kern w:val="2"/>
                      <w:sz w:val="21"/>
                      <w:lang w:val="en-US" w:eastAsia="zh-CN" w:bidi="ar-SA"/>
                    </w:rPr>
                    <w:t>3</w:t>
                  </w:r>
                  <w:r>
                    <w:rPr>
                      <w:rFonts w:hint="default" w:ascii="Times New Roman" w:hAnsi="Times New Roman" w:eastAsia="宋体" w:cs="Times New Roman"/>
                      <w:kern w:val="2"/>
                      <w:sz w:val="21"/>
                      <w:lang w:val="en-US" w:eastAsia="zh-CN" w:bidi="ar-SA"/>
                    </w:rPr>
                    <w:t>.</w:t>
                  </w:r>
                  <w:r>
                    <w:rPr>
                      <w:rFonts w:hint="eastAsia" w:cs="Times New Roman"/>
                      <w:kern w:val="2"/>
                      <w:sz w:val="21"/>
                      <w:lang w:val="en-US" w:eastAsia="zh-CN" w:bidi="ar-SA"/>
                    </w:rPr>
                    <w:t xml:space="preserve">2.2.1 </w:t>
                  </w:r>
                  <w:r>
                    <w:rPr>
                      <w:rFonts w:hint="eastAsia"/>
                      <w:lang w:val="en-US" w:eastAsia="zh-CN"/>
                    </w:rPr>
                    <w:t>Set&lt;E&gt; 记录当前靶场平台已经分配的连线子网值，例如{ 1, 2}。Lock&lt;Set&lt;E&gt;&gt;为靶场平台的子网网段分配锁Lock&lt;P&gt;, 所有的内部核心路由器与SN核心路由器连接线路的子网设置cidr时，需要先获取Lock&lt;P&gt;锁。</w:t>
                  </w:r>
                </w:p>
                <w:p w14:paraId="4D920B66">
                  <w:pPr>
                    <w:keepNext w:val="0"/>
                    <w:keepLines w:val="0"/>
                    <w:widowControl/>
                    <w:numPr>
                      <w:ilvl w:val="1"/>
                      <w:numId w:val="0"/>
                    </w:numPr>
                    <w:suppressLineNumbers w:val="0"/>
                    <w:ind w:left="0" w:leftChars="0" w:firstLine="1260" w:firstLineChars="600"/>
                    <w:jc w:val="left"/>
                    <w:rPr>
                      <w:rFonts w:hint="default"/>
                      <w:lang w:val="en-US" w:eastAsia="zh-CN"/>
                    </w:rPr>
                  </w:pPr>
                  <w:r>
                    <w:rPr>
                      <w:rFonts w:hint="eastAsia" w:cs="Times New Roman"/>
                      <w:kern w:val="2"/>
                      <w:sz w:val="21"/>
                      <w:lang w:val="en-US" w:eastAsia="zh-CN" w:bidi="ar-SA"/>
                    </w:rPr>
                    <w:t>3</w:t>
                  </w:r>
                  <w:r>
                    <w:rPr>
                      <w:rFonts w:hint="default" w:ascii="Times New Roman" w:hAnsi="Times New Roman" w:eastAsia="宋体" w:cs="Times New Roman"/>
                      <w:kern w:val="2"/>
                      <w:sz w:val="21"/>
                      <w:lang w:val="en-US" w:eastAsia="zh-CN" w:bidi="ar-SA"/>
                    </w:rPr>
                    <w:t>.2</w:t>
                  </w:r>
                  <w:r>
                    <w:rPr>
                      <w:rFonts w:hint="eastAsia" w:cs="Times New Roman"/>
                      <w:kern w:val="2"/>
                      <w:sz w:val="21"/>
                      <w:lang w:val="en-US" w:eastAsia="zh-CN" w:bidi="ar-SA"/>
                    </w:rPr>
                    <w:t>.2.2</w:t>
                  </w:r>
                  <w:r>
                    <w:rPr>
                      <w:rFonts w:hint="eastAsia"/>
                      <w:lang w:val="en-US" w:eastAsia="zh-CN"/>
                    </w:rPr>
                    <w:t>调用Random函数，输入种子为当前时间，获取一个范围为[0,1]的浮点数n。</w:t>
                  </w:r>
                </w:p>
                <w:p w14:paraId="5BF05905">
                  <w:pPr>
                    <w:keepNext w:val="0"/>
                    <w:keepLines w:val="0"/>
                    <w:widowControl/>
                    <w:numPr>
                      <w:ilvl w:val="1"/>
                      <w:numId w:val="0"/>
                    </w:numPr>
                    <w:suppressLineNumbers w:val="0"/>
                    <w:ind w:left="0" w:leftChars="0" w:firstLine="1260" w:firstLineChars="600"/>
                    <w:jc w:val="left"/>
                    <w:rPr>
                      <w:rFonts w:hint="default"/>
                      <w:lang w:val="en-US" w:eastAsia="zh-CN"/>
                    </w:rPr>
                  </w:pPr>
                  <w:r>
                    <w:rPr>
                      <w:rFonts w:hint="eastAsia" w:cs="Times New Roman"/>
                      <w:kern w:val="2"/>
                      <w:sz w:val="21"/>
                      <w:lang w:val="en-US" w:eastAsia="zh-CN" w:bidi="ar-SA"/>
                    </w:rPr>
                    <w:t>3.2.2.3</w:t>
                  </w:r>
                  <w:r>
                    <w:rPr>
                      <w:rFonts w:hint="eastAsia"/>
                      <w:lang w:val="en-US" w:eastAsia="zh-CN"/>
                    </w:rPr>
                    <w:t>当前网络子网值Vcidr为4194304乘于上一步获取的随机数n，再向下取整。</w:t>
                  </w:r>
                </w:p>
                <w:p w14:paraId="32A8AAD9">
                  <w:pPr>
                    <w:keepNext w:val="0"/>
                    <w:keepLines w:val="0"/>
                    <w:widowControl/>
                    <w:numPr>
                      <w:ilvl w:val="1"/>
                      <w:numId w:val="0"/>
                    </w:numPr>
                    <w:suppressLineNumbers w:val="0"/>
                    <w:ind w:left="0" w:leftChars="0" w:firstLine="1260" w:firstLineChars="600"/>
                    <w:jc w:val="left"/>
                    <w:rPr>
                      <w:rFonts w:hint="default"/>
                      <w:lang w:val="en-US" w:eastAsia="zh-CN"/>
                    </w:rPr>
                  </w:pPr>
                  <w:r>
                    <w:rPr>
                      <w:rFonts w:hint="eastAsia" w:cs="Times New Roman"/>
                      <w:kern w:val="2"/>
                      <w:sz w:val="21"/>
                      <w:lang w:val="en-US" w:eastAsia="zh-CN" w:bidi="ar-SA"/>
                    </w:rPr>
                    <w:t>3</w:t>
                  </w:r>
                  <w:r>
                    <w:rPr>
                      <w:rFonts w:hint="default" w:ascii="Times New Roman" w:hAnsi="Times New Roman" w:eastAsia="宋体" w:cs="Times New Roman"/>
                      <w:kern w:val="2"/>
                      <w:sz w:val="21"/>
                      <w:lang w:val="en-US" w:eastAsia="zh-CN" w:bidi="ar-SA"/>
                    </w:rPr>
                    <w:t>.</w:t>
                  </w:r>
                  <w:r>
                    <w:rPr>
                      <w:rFonts w:hint="eastAsia" w:cs="Times New Roman"/>
                      <w:kern w:val="2"/>
                      <w:sz w:val="21"/>
                      <w:lang w:val="en-US" w:eastAsia="zh-CN" w:bidi="ar-SA"/>
                    </w:rPr>
                    <w:t>2.2.4</w:t>
                  </w:r>
                  <w:r>
                    <w:rPr>
                      <w:rFonts w:hint="eastAsia"/>
                      <w:lang w:val="en-US" w:eastAsia="zh-CN"/>
                    </w:rPr>
                    <w:t>等待获取Lock&lt;P&gt;锁</w:t>
                  </w:r>
                </w:p>
                <w:p w14:paraId="4FAE1C70">
                  <w:pPr>
                    <w:keepNext w:val="0"/>
                    <w:keepLines w:val="0"/>
                    <w:widowControl/>
                    <w:numPr>
                      <w:ilvl w:val="1"/>
                      <w:numId w:val="0"/>
                    </w:numPr>
                    <w:suppressLineNumbers w:val="0"/>
                    <w:ind w:left="0" w:leftChars="0" w:firstLine="1260" w:firstLineChars="600"/>
                    <w:jc w:val="left"/>
                    <w:rPr>
                      <w:rFonts w:hint="default"/>
                      <w:lang w:val="en-US" w:eastAsia="zh-CN"/>
                    </w:rPr>
                  </w:pPr>
                  <w:r>
                    <w:rPr>
                      <w:rFonts w:hint="eastAsia" w:cs="Times New Roman"/>
                      <w:kern w:val="2"/>
                      <w:sz w:val="21"/>
                      <w:lang w:val="en-US" w:eastAsia="zh-CN" w:bidi="ar-SA"/>
                    </w:rPr>
                    <w:t>3</w:t>
                  </w:r>
                  <w:r>
                    <w:rPr>
                      <w:rFonts w:hint="default" w:ascii="Times New Roman" w:hAnsi="Times New Roman" w:eastAsia="宋体" w:cs="Times New Roman"/>
                      <w:kern w:val="2"/>
                      <w:sz w:val="21"/>
                      <w:lang w:val="en-US" w:eastAsia="zh-CN" w:bidi="ar-SA"/>
                    </w:rPr>
                    <w:t>.</w:t>
                  </w:r>
                  <w:r>
                    <w:rPr>
                      <w:rFonts w:hint="eastAsia" w:cs="Times New Roman"/>
                      <w:kern w:val="2"/>
                      <w:sz w:val="21"/>
                      <w:lang w:val="en-US" w:eastAsia="zh-CN" w:bidi="ar-SA"/>
                    </w:rPr>
                    <w:t>2.2.5</w:t>
                  </w:r>
                  <w:r>
                    <w:rPr>
                      <w:rFonts w:hint="eastAsia"/>
                      <w:lang w:val="en-US" w:eastAsia="zh-CN"/>
                    </w:rPr>
                    <w:t>检查Set&lt;E&gt;是否包含当前网络子网值Vcidr，如果包含，Vcidr = Vcidr + 1，直到Vcidr不存在于Set&lt;E&gt;中。例如，如果Vcidr第一次随机的值为1，1已经包含在Set&lt;E&gt;中了，则Vcidr = Vcidr + 1 = 2。2仍然包含在Set&lt;E&gt;中，Vcidr = Vcidr + 1 = 3。3没有在Set&lt;E&gt;中，则Vcidr = 3，可以执行下一步了。</w:t>
                  </w:r>
                </w:p>
                <w:p w14:paraId="6B48D0AE">
                  <w:pPr>
                    <w:keepNext w:val="0"/>
                    <w:keepLines w:val="0"/>
                    <w:widowControl/>
                    <w:numPr>
                      <w:ilvl w:val="1"/>
                      <w:numId w:val="0"/>
                    </w:numPr>
                    <w:suppressLineNumbers w:val="0"/>
                    <w:ind w:left="0" w:leftChars="0" w:firstLine="1260" w:firstLineChars="600"/>
                    <w:jc w:val="left"/>
                    <w:rPr>
                      <w:rFonts w:hint="default"/>
                      <w:lang w:val="en-US" w:eastAsia="zh-CN"/>
                    </w:rPr>
                  </w:pPr>
                  <w:r>
                    <w:rPr>
                      <w:rFonts w:hint="eastAsia" w:cs="Times New Roman"/>
                      <w:kern w:val="2"/>
                      <w:sz w:val="21"/>
                      <w:lang w:val="en-US" w:eastAsia="zh-CN" w:bidi="ar-SA"/>
                    </w:rPr>
                    <w:t>3</w:t>
                  </w:r>
                  <w:r>
                    <w:rPr>
                      <w:rFonts w:hint="default" w:ascii="Times New Roman" w:hAnsi="Times New Roman" w:eastAsia="宋体" w:cs="Times New Roman"/>
                      <w:kern w:val="2"/>
                      <w:sz w:val="21"/>
                      <w:lang w:val="en-US" w:eastAsia="zh-CN" w:bidi="ar-SA"/>
                    </w:rPr>
                    <w:t>.</w:t>
                  </w:r>
                  <w:r>
                    <w:rPr>
                      <w:rFonts w:hint="eastAsia" w:cs="Times New Roman"/>
                      <w:kern w:val="2"/>
                      <w:sz w:val="21"/>
                      <w:lang w:val="en-US" w:eastAsia="zh-CN" w:bidi="ar-SA"/>
                    </w:rPr>
                    <w:t>2.2.6</w:t>
                  </w:r>
                  <w:r>
                    <w:rPr>
                      <w:rFonts w:hint="eastAsia"/>
                      <w:lang w:val="en-US" w:eastAsia="zh-CN"/>
                    </w:rPr>
                    <w:t>将Vcidr加入到Set&lt;E&gt;中后，释放Lock&lt;P&gt;锁</w:t>
                  </w:r>
                </w:p>
                <w:p w14:paraId="5CFECD25">
                  <w:pPr>
                    <w:keepNext w:val="0"/>
                    <w:keepLines w:val="0"/>
                    <w:widowControl/>
                    <w:numPr>
                      <w:ilvl w:val="1"/>
                      <w:numId w:val="0"/>
                    </w:numPr>
                    <w:suppressLineNumbers w:val="0"/>
                    <w:ind w:left="0" w:leftChars="0" w:firstLine="1260" w:firstLineChars="600"/>
                    <w:jc w:val="left"/>
                    <w:rPr>
                      <w:rFonts w:hint="default"/>
                      <w:lang w:val="en-US" w:eastAsia="zh-CN"/>
                    </w:rPr>
                  </w:pPr>
                  <w:r>
                    <w:rPr>
                      <w:rFonts w:hint="eastAsia" w:cs="Times New Roman"/>
                      <w:kern w:val="2"/>
                      <w:sz w:val="21"/>
                      <w:lang w:val="en-US" w:eastAsia="zh-CN" w:bidi="ar-SA"/>
                    </w:rPr>
                    <w:t>3</w:t>
                  </w:r>
                  <w:r>
                    <w:rPr>
                      <w:rFonts w:hint="default" w:ascii="Times New Roman" w:hAnsi="Times New Roman" w:eastAsia="宋体" w:cs="Times New Roman"/>
                      <w:kern w:val="2"/>
                      <w:sz w:val="21"/>
                      <w:lang w:val="en-US" w:eastAsia="zh-CN" w:bidi="ar-SA"/>
                    </w:rPr>
                    <w:t>.</w:t>
                  </w:r>
                  <w:r>
                    <w:rPr>
                      <w:rFonts w:hint="eastAsia" w:cs="Times New Roman"/>
                      <w:kern w:val="2"/>
                      <w:sz w:val="21"/>
                      <w:lang w:val="en-US" w:eastAsia="zh-CN" w:bidi="ar-SA"/>
                    </w:rPr>
                    <w:t>2.2.7</w:t>
                  </w:r>
                  <w:r>
                    <w:rPr>
                      <w:rFonts w:hint="eastAsia"/>
                      <w:lang w:val="en-US" w:eastAsia="zh-CN"/>
                    </w:rPr>
                    <w:t xml:space="preserve">当前连线的网段为“99.”+ IntToStr((Vcidr &gt;&gt; 14) &amp; 0xFF)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IntToStr((Vcidr &gt;&gt; 6) &amp; 0xFF)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IntToStr((Vcidr &amp; 0xFC)&lt;&lt;2) + </w:t>
                  </w:r>
                  <w:r>
                    <w:rPr>
                      <w:rFonts w:hint="default"/>
                      <w:lang w:val="en-US" w:eastAsia="zh-CN"/>
                    </w:rPr>
                    <w:t>“</w:t>
                  </w:r>
                  <w:r>
                    <w:rPr>
                      <w:rFonts w:hint="eastAsia"/>
                      <w:lang w:val="en-US" w:eastAsia="zh-CN"/>
                    </w:rPr>
                    <w:t>/30</w:t>
                  </w:r>
                  <w:r>
                    <w:rPr>
                      <w:rFonts w:hint="default"/>
                      <w:lang w:val="en-US" w:eastAsia="zh-CN"/>
                    </w:rPr>
                    <w:t>”</w:t>
                  </w:r>
                  <w:r>
                    <w:rPr>
                      <w:rFonts w:hint="eastAsia"/>
                      <w:lang w:val="en-US" w:eastAsia="zh-CN"/>
                    </w:rPr>
                    <w:t>。即ipv4地址第一段固定为99，第二段的值为Vcidr向右偏移14位后和0xFF进行AND位运算，第三段的值为Vcidr向右偏移6位后和0xFF进行AND位运算，第四段的值为Vcidr先和0xFC进行AND位运算，然后向左偏移2位，掩码固定为30位。</w:t>
                  </w:r>
                </w:p>
                <w:p w14:paraId="7A5C1064">
                  <w:pPr>
                    <w:keepNext w:val="0"/>
                    <w:keepLines w:val="0"/>
                    <w:widowControl/>
                    <w:numPr>
                      <w:numId w:val="0"/>
                    </w:numPr>
                    <w:suppressLineNumbers w:val="0"/>
                    <w:jc w:val="left"/>
                    <w:rPr>
                      <w:rFonts w:hint="default"/>
                      <w:lang w:val="en-US" w:eastAsia="zh-CN"/>
                    </w:rPr>
                  </w:pPr>
                </w:p>
                <w:p w14:paraId="5BC347ED">
                  <w:pPr>
                    <w:keepNext w:val="0"/>
                    <w:keepLines w:val="0"/>
                    <w:widowControl/>
                    <w:numPr>
                      <w:numId w:val="0"/>
                    </w:numPr>
                    <w:suppressLineNumbers w:val="0"/>
                    <w:ind w:left="420" w:leftChars="0" w:firstLine="420"/>
                    <w:jc w:val="left"/>
                    <w:rPr>
                      <w:rFonts w:hint="default"/>
                      <w:lang w:val="en-US" w:eastAsia="zh-CN"/>
                    </w:rPr>
                  </w:pPr>
                </w:p>
                <w:p w14:paraId="41874EAF">
                  <w:pPr>
                    <w:keepNext w:val="0"/>
                    <w:keepLines w:val="0"/>
                    <w:widowControl/>
                    <w:numPr>
                      <w:ilvl w:val="1"/>
                      <w:numId w:val="4"/>
                    </w:numPr>
                    <w:suppressLineNumbers w:val="0"/>
                    <w:ind w:left="420" w:leftChars="0" w:firstLine="0" w:firstLineChars="0"/>
                    <w:jc w:val="left"/>
                    <w:rPr>
                      <w:rFonts w:hint="default"/>
                      <w:lang w:val="en-US" w:eastAsia="zh-CN"/>
                    </w:rPr>
                  </w:pPr>
                  <w:r>
                    <w:rPr>
                      <w:rFonts w:hint="eastAsia"/>
                      <w:lang w:val="en-US" w:eastAsia="zh-CN"/>
                    </w:rPr>
                    <w:t>内部核心路由器和SN核心路由器连接的端口开启SNAT，虚拟配置采集代理节点和流量发生仪trex设置默认路由，网关位内部核心路由器和SN核心路由器连接的端口ip。虚拟配置采集代理节点和流量发生仪trex通过定期轮询、反向连接机制主动请求靶场平台获取用户管理操作生成的任务单。</w:t>
                  </w:r>
                </w:p>
                <w:p w14:paraId="1F52592E">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经过上面3.1、3.2步骤，虚拟管理网络初步建立起来了。但是靶场平台是无法ping通拓扑实例中的虚拟配置采集代理节点以及流量发生仪trex。因为靶场平台是无法路由到拓扑实例内部的网络的。一个靶场平台会创建很多个拓扑实例，不同的拓扑实例内部的管理网络网段是会重复的。因此如果从靶场平台出发，给定一个虚拟配置采集代理节点的ip，是无法确认到达这个ip，是需要经过哪个内部核心路由器的。</w:t>
                  </w:r>
                </w:p>
                <w:p w14:paraId="0F6579C1">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因此拓扑实例内部的虚拟配置采集代理节点和流量发生仪trex节点需要采用反向连接的方式，才可以和外部的靶场平台进行通信。具体配置过程如下：</w:t>
                  </w:r>
                </w:p>
                <w:p w14:paraId="0202A912">
                  <w:pPr>
                    <w:keepNext w:val="0"/>
                    <w:keepLines w:val="0"/>
                    <w:widowControl/>
                    <w:numPr>
                      <w:numId w:val="0"/>
                    </w:numPr>
                    <w:suppressLineNumbers w:val="0"/>
                    <w:ind w:left="420" w:leftChars="0" w:firstLine="420"/>
                    <w:jc w:val="left"/>
                    <w:rPr>
                      <w:rFonts w:hint="default"/>
                      <w:lang w:val="en-US" w:eastAsia="zh-CN"/>
                    </w:rPr>
                  </w:pPr>
                  <w:r>
                    <w:rPr>
                      <w:rFonts w:hint="eastAsia"/>
                      <w:lang w:val="en-US" w:eastAsia="zh-CN"/>
                    </w:rPr>
                    <w:t>3.3.1 拓扑实例内部的核心路由器开启SNAT。和SN核心路由器连接的端口所在的网络为SNAT的外部网络。其它端口均为内部网络。</w:t>
                  </w:r>
                </w:p>
                <w:p w14:paraId="1BA73AA2">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3.3.2 下面统一用内部代理节点一词来统一指代拓扑实例内部的虚拟配置采集代理节点和流量发生仪trex</w:t>
                  </w:r>
                </w:p>
                <w:p w14:paraId="48D4E300">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3.3.2 每个内部代理节点设置默认路由，网关为其接入的内部管理网络交换机连接的内部核心路由器</w:t>
                  </w:r>
                </w:p>
                <w:p w14:paraId="63DE232E">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3.3.3 内部代理节点都需要设置一个定时任务，每隔T时间，T默认为60s向靶场平台发送心跳，并携带其所属内部管理网络交换机的唯一id，mgmtNetworkId，以及自己的代理类型，分为CONFIG和FLOW。CONFIG代表虚拟配置采集代理，FLOW代表流量发生仪trex。</w:t>
                  </w:r>
                </w:p>
                <w:p w14:paraId="7334534E">
                  <w:pPr>
                    <w:keepNext w:val="0"/>
                    <w:keepLines w:val="0"/>
                    <w:widowControl/>
                    <w:numPr>
                      <w:numId w:val="0"/>
                    </w:numPr>
                    <w:suppressLineNumbers w:val="0"/>
                    <w:ind w:left="420" w:leftChars="0" w:firstLine="420"/>
                    <w:jc w:val="left"/>
                    <w:rPr>
                      <w:rFonts w:hint="eastAsia"/>
                      <w:lang w:val="en-US" w:eastAsia="zh-CN"/>
                    </w:rPr>
                  </w:pPr>
                  <w:r>
                    <w:rPr>
                      <w:rFonts w:hint="eastAsia"/>
                      <w:lang w:val="en-US" w:eastAsia="zh-CN"/>
                    </w:rPr>
                    <w:t>3.3.4 靶场平台收到拓扑实例内部代理节点的心跳请求，会获取到请求中携带的bizNetworkId，和代理类型。如果有用户在靶场平台上操作，给指定的靶场实例内部节点下发网络配置信息。例如给拓扑实例1中的虚机节点1，配置其端口g0/1 dns 为1.1.1.1，靶场平台会生成一个任务单，任务单字段设计如下：</w:t>
                  </w:r>
                </w:p>
                <w:tbl>
                  <w:tblPr>
                    <w:tblStyle w:val="15"/>
                    <w:tblW w:w="8722" w:type="dxa"/>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64"/>
                    <w:gridCol w:w="2286"/>
                    <w:gridCol w:w="2286"/>
                    <w:gridCol w:w="2286"/>
                  </w:tblGrid>
                  <w:tr w14:paraId="623EB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57B7AEEA">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字段名称</w:t>
                        </w:r>
                      </w:p>
                    </w:tc>
                    <w:tc>
                      <w:tcPr>
                        <w:tcW w:w="2286" w:type="dxa"/>
                      </w:tcPr>
                      <w:p w14:paraId="2B42B5E1">
                        <w:pPr>
                          <w:keepNext w:val="0"/>
                          <w:keepLines w:val="0"/>
                          <w:widowControl/>
                          <w:numPr>
                            <w:numId w:val="0"/>
                          </w:numPr>
                          <w:suppressLineNumbers w:val="0"/>
                          <w:jc w:val="right"/>
                          <w:rPr>
                            <w:rFonts w:hint="default"/>
                            <w:vertAlign w:val="baseline"/>
                            <w:lang w:val="en-US" w:eastAsia="zh-CN"/>
                          </w:rPr>
                        </w:pPr>
                        <w:r>
                          <w:rPr>
                            <w:rFonts w:hint="eastAsia"/>
                            <w:vertAlign w:val="baseline"/>
                            <w:lang w:val="en-US" w:eastAsia="zh-CN"/>
                          </w:rPr>
                          <w:t>类型</w:t>
                        </w:r>
                      </w:p>
                    </w:tc>
                    <w:tc>
                      <w:tcPr>
                        <w:tcW w:w="2286" w:type="dxa"/>
                      </w:tcPr>
                      <w:p w14:paraId="154C43AF">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含义</w:t>
                        </w:r>
                      </w:p>
                    </w:tc>
                    <w:tc>
                      <w:tcPr>
                        <w:tcW w:w="2286" w:type="dxa"/>
                      </w:tcPr>
                      <w:p w14:paraId="0C6466DE">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示例</w:t>
                        </w:r>
                      </w:p>
                    </w:tc>
                  </w:tr>
                  <w:tr w14:paraId="77D89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0878C987">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node_id</w:t>
                        </w:r>
                      </w:p>
                    </w:tc>
                    <w:tc>
                      <w:tcPr>
                        <w:tcW w:w="2286" w:type="dxa"/>
                      </w:tcPr>
                      <w:p w14:paraId="1F323B7B">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字符串</w:t>
                        </w:r>
                      </w:p>
                    </w:tc>
                    <w:tc>
                      <w:tcPr>
                        <w:tcW w:w="2286" w:type="dxa"/>
                      </w:tcPr>
                      <w:p w14:paraId="3B03BD54">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节点id</w:t>
                        </w:r>
                      </w:p>
                    </w:tc>
                    <w:tc>
                      <w:tcPr>
                        <w:tcW w:w="2286" w:type="dxa"/>
                      </w:tcPr>
                      <w:p w14:paraId="150AD8A7">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6e345adda9a44f338f8a9cde6957d38d</w:t>
                        </w:r>
                      </w:p>
                    </w:tc>
                  </w:tr>
                  <w:tr w14:paraId="04507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0389BB12">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node_mgmt_ip</w:t>
                        </w:r>
                      </w:p>
                    </w:tc>
                    <w:tc>
                      <w:tcPr>
                        <w:tcW w:w="2286" w:type="dxa"/>
                      </w:tcPr>
                      <w:p w14:paraId="0AC8F9E7">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Ip格式字符串</w:t>
                        </w:r>
                      </w:p>
                    </w:tc>
                    <w:tc>
                      <w:tcPr>
                        <w:tcW w:w="2286" w:type="dxa"/>
                      </w:tcPr>
                      <w:p w14:paraId="5C797F24">
                        <w:pPr>
                          <w:keepNext w:val="0"/>
                          <w:keepLines w:val="0"/>
                          <w:widowControl/>
                          <w:numPr>
                            <w:numId w:val="0"/>
                          </w:numPr>
                          <w:suppressLineNumbers w:val="0"/>
                          <w:jc w:val="left"/>
                          <w:rPr>
                            <w:rFonts w:hint="eastAsia"/>
                            <w:vertAlign w:val="baseline"/>
                            <w:lang w:val="en-US" w:eastAsia="zh-CN"/>
                          </w:rPr>
                        </w:pPr>
                      </w:p>
                    </w:tc>
                    <w:tc>
                      <w:tcPr>
                        <w:tcW w:w="2286" w:type="dxa"/>
                      </w:tcPr>
                      <w:p w14:paraId="3B6446A7">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10.60,60.10</w:t>
                        </w:r>
                      </w:p>
                    </w:tc>
                  </w:tr>
                  <w:tr w14:paraId="5A7E0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334D1314">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node_access_mgmt_network_id</w:t>
                        </w:r>
                      </w:p>
                    </w:tc>
                    <w:tc>
                      <w:tcPr>
                        <w:tcW w:w="2286" w:type="dxa"/>
                      </w:tcPr>
                      <w:p w14:paraId="0D88AAE1">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字符串</w:t>
                        </w:r>
                      </w:p>
                    </w:tc>
                    <w:tc>
                      <w:tcPr>
                        <w:tcW w:w="2286" w:type="dxa"/>
                      </w:tcPr>
                      <w:p w14:paraId="286980DD">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节点接入的内部管理网络交换机的唯一id</w:t>
                        </w:r>
                      </w:p>
                    </w:tc>
                    <w:tc>
                      <w:tcPr>
                        <w:tcW w:w="2286" w:type="dxa"/>
                      </w:tcPr>
                      <w:p w14:paraId="18080E46">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8ce9abd0-cce1-4ad5-b657-6ca1f100f1b9</w:t>
                        </w:r>
                      </w:p>
                    </w:tc>
                  </w:tr>
                  <w:tr w14:paraId="3E8BF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6AAB81E8">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proxy_type</w:t>
                        </w:r>
                      </w:p>
                    </w:tc>
                    <w:tc>
                      <w:tcPr>
                        <w:tcW w:w="2286" w:type="dxa"/>
                      </w:tcPr>
                      <w:p w14:paraId="2B3D8B1E">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枚举，CONFIG或者FLOW</w:t>
                        </w:r>
                      </w:p>
                    </w:tc>
                    <w:tc>
                      <w:tcPr>
                        <w:tcW w:w="2286" w:type="dxa"/>
                      </w:tcPr>
                      <w:p w14:paraId="58DB5F18">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管理操作实际执行的代理类型</w:t>
                        </w:r>
                      </w:p>
                    </w:tc>
                    <w:tc>
                      <w:tcPr>
                        <w:tcW w:w="2286" w:type="dxa"/>
                      </w:tcPr>
                      <w:p w14:paraId="1F4542D7">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CONFIG</w:t>
                        </w:r>
                      </w:p>
                    </w:tc>
                  </w:tr>
                  <w:tr w14:paraId="5DE53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2CF763B1">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proxy_content</w:t>
                        </w:r>
                      </w:p>
                    </w:tc>
                    <w:tc>
                      <w:tcPr>
                        <w:tcW w:w="2286" w:type="dxa"/>
                      </w:tcPr>
                      <w:p w14:paraId="11F1F98D">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json格式字符串</w:t>
                        </w:r>
                      </w:p>
                    </w:tc>
                    <w:tc>
                      <w:tcPr>
                        <w:tcW w:w="2286" w:type="dxa"/>
                      </w:tcPr>
                      <w:p w14:paraId="55F562CA">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管理操作执行的内容</w:t>
                        </w:r>
                      </w:p>
                    </w:tc>
                    <w:tc>
                      <w:tcPr>
                        <w:tcW w:w="2286" w:type="dxa"/>
                      </w:tcPr>
                      <w:p w14:paraId="119C00A9">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w:t>
                        </w:r>
                      </w:p>
                      <w:p w14:paraId="13D2EA22">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"access_info": {</w:t>
                        </w:r>
                      </w:p>
                      <w:p w14:paraId="73223E17">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"protocol": "ssh",</w:t>
                        </w:r>
                      </w:p>
                      <w:p w14:paraId="2B077DFC">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"username": "root",</w:t>
                        </w:r>
                      </w:p>
                      <w:p w14:paraId="1C8E8916">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"password": "Xctfoj01"</w:t>
                        </w:r>
                      </w:p>
                      <w:p w14:paraId="742C3C64">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w:t>
                        </w:r>
                      </w:p>
                      <w:p w14:paraId="4CED6F1F">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"commands_info": [</w:t>
                        </w:r>
                      </w:p>
                      <w:p w14:paraId="3B5E7A33">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w:t>
                        </w:r>
                      </w:p>
                      <w:p w14:paraId="531AF027">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"command": "echo \"nameserver 1.1.1.1\" &gt;&gt; /etc/resolv.conf"</w:t>
                        </w:r>
                      </w:p>
                      <w:p w14:paraId="31DE9154">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w:t>
                        </w:r>
                      </w:p>
                      <w:p w14:paraId="722CFF21">
                        <w:pPr>
                          <w:keepNext w:val="0"/>
                          <w:keepLines w:val="0"/>
                          <w:widowControl/>
                          <w:numPr>
                            <w:numId w:val="0"/>
                          </w:numPr>
                          <w:suppressLineNumbers w:val="0"/>
                          <w:jc w:val="left"/>
                          <w:rPr>
                            <w:rFonts w:hint="eastAsia"/>
                            <w:vertAlign w:val="baseline"/>
                            <w:lang w:val="en-US" w:eastAsia="zh-CN"/>
                          </w:rPr>
                        </w:pPr>
                        <w:r>
                          <w:rPr>
                            <w:rFonts w:hint="eastAsia"/>
                            <w:vertAlign w:val="baseline"/>
                            <w:lang w:val="en-US" w:eastAsia="zh-CN"/>
                          </w:rPr>
                          <w:t xml:space="preserve">    ]</w:t>
                        </w:r>
                      </w:p>
                      <w:p w14:paraId="729F9C1A">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w:t>
                        </w:r>
                      </w:p>
                    </w:tc>
                  </w:tr>
                  <w:tr w14:paraId="687F3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4" w:type="dxa"/>
                      </w:tcPr>
                      <w:p w14:paraId="1FD3AFF6">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state</w:t>
                        </w:r>
                      </w:p>
                    </w:tc>
                    <w:tc>
                      <w:tcPr>
                        <w:tcW w:w="2286" w:type="dxa"/>
                      </w:tcPr>
                      <w:p w14:paraId="579A8952">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枚举数字，0，1，2，3，默认为0</w:t>
                        </w:r>
                      </w:p>
                    </w:tc>
                    <w:tc>
                      <w:tcPr>
                        <w:tcW w:w="2286" w:type="dxa"/>
                      </w:tcPr>
                      <w:p w14:paraId="7D134583">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当前任务单状态。0代表初始化，1代表执行中，2代表成功，3代表失败</w:t>
                        </w:r>
                      </w:p>
                    </w:tc>
                    <w:tc>
                      <w:tcPr>
                        <w:tcW w:w="2286" w:type="dxa"/>
                      </w:tcPr>
                      <w:p w14:paraId="08E29F70">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0</w:t>
                        </w:r>
                      </w:p>
                    </w:tc>
                  </w:tr>
                </w:tbl>
                <w:p w14:paraId="1CDCAE6C">
                  <w:pPr>
                    <w:keepNext w:val="0"/>
                    <w:keepLines w:val="0"/>
                    <w:widowControl/>
                    <w:numPr>
                      <w:numId w:val="0"/>
                    </w:numPr>
                    <w:suppressLineNumbers w:val="0"/>
                    <w:ind w:left="420" w:leftChars="0" w:firstLine="840" w:firstLineChars="400"/>
                    <w:jc w:val="left"/>
                    <w:rPr>
                      <w:rFonts w:hint="eastAsia"/>
                      <w:lang w:val="en-US" w:eastAsia="zh-CN"/>
                    </w:rPr>
                  </w:pPr>
                  <w:r>
                    <w:rPr>
                      <w:rFonts w:hint="eastAsia"/>
                      <w:lang w:val="en-US" w:eastAsia="zh-CN"/>
                    </w:rPr>
                    <w:t>3.3.4.1 当靶场平台收到某一个拓扑实例内部代理节点的心跳请求时，会获取到请求中携带的mgmtNetworkId和代理类型。</w:t>
                  </w:r>
                </w:p>
                <w:p w14:paraId="2F2B9C57">
                  <w:pPr>
                    <w:keepNext w:val="0"/>
                    <w:keepLines w:val="0"/>
                    <w:widowControl/>
                    <w:numPr>
                      <w:numId w:val="0"/>
                    </w:numPr>
                    <w:suppressLineNumbers w:val="0"/>
                    <w:ind w:left="420" w:leftChars="0" w:firstLine="840" w:firstLineChars="400"/>
                    <w:jc w:val="left"/>
                    <w:rPr>
                      <w:rFonts w:hint="eastAsia"/>
                      <w:vertAlign w:val="baseline"/>
                      <w:lang w:val="en-US" w:eastAsia="zh-CN"/>
                    </w:rPr>
                  </w:pPr>
                  <w:r>
                    <w:rPr>
                      <w:rFonts w:hint="eastAsia"/>
                      <w:lang w:val="en-US" w:eastAsia="zh-CN"/>
                    </w:rPr>
                    <w:t>3.3.4.2 然后靶场平台会查询生成的任务单。如果任务单的</w:t>
                  </w:r>
                  <w:r>
                    <w:rPr>
                      <w:rFonts w:hint="eastAsia"/>
                      <w:vertAlign w:val="baseline"/>
                      <w:lang w:val="en-US" w:eastAsia="zh-CN"/>
                    </w:rPr>
                    <w:t>node_access_mgmt_network_id和proxy_type和请求中的mgmtNetworkId、代理类型一致的话，且任务单的state状态为0的话，则将任务单作为响应体返回给对应的请求。同时将任务单的state设置为1</w:t>
                  </w:r>
                </w:p>
                <w:p w14:paraId="1AD1C849">
                  <w:pPr>
                    <w:keepNext w:val="0"/>
                    <w:keepLines w:val="0"/>
                    <w:widowControl/>
                    <w:numPr>
                      <w:ilvl w:val="0"/>
                      <w:numId w:val="0"/>
                    </w:numPr>
                    <w:suppressLineNumbers w:val="0"/>
                    <w:ind w:left="420" w:leftChars="0" w:firstLine="420" w:firstLineChars="200"/>
                    <w:jc w:val="left"/>
                    <w:rPr>
                      <w:rFonts w:hint="default"/>
                      <w:lang w:val="en-US" w:eastAsia="zh-CN"/>
                    </w:rPr>
                  </w:pPr>
                  <w:r>
                    <w:rPr>
                      <w:rFonts w:hint="eastAsia"/>
                      <w:vertAlign w:val="baseline"/>
                      <w:lang w:val="en-US" w:eastAsia="zh-CN"/>
                    </w:rPr>
                    <w:t>3.3.4.2 内部代理节点收到心跳请求的响应后，就可以开始实际执行任务单proxy_content中描述的操作任务了。具体如何执行，请参考我们公司专利</w:t>
                  </w:r>
                  <w:r>
                    <w:rPr>
                      <w:rFonts w:hint="eastAsia"/>
                      <w:lang w:val="en-US" w:eastAsia="zh-CN"/>
                    </w:rPr>
                    <w:t>《网络靶场中基于配置代理的自动配置方法与系统》和《一种网络靶场流量自动发生方法与系统》。本专利只介绍如何构建虚拟管理网络下发信令流量。</w:t>
                  </w:r>
                  <w:bookmarkStart w:id="0" w:name="_GoBack"/>
                  <w:bookmarkEnd w:id="0"/>
                </w:p>
                <w:p w14:paraId="7ED1124A">
                  <w:pPr>
                    <w:keepNext w:val="0"/>
                    <w:keepLines w:val="0"/>
                    <w:widowControl/>
                    <w:numPr>
                      <w:numId w:val="0"/>
                    </w:numPr>
                    <w:suppressLineNumbers w:val="0"/>
                    <w:ind w:left="420" w:leftChars="0" w:firstLine="840" w:firstLineChars="400"/>
                    <w:jc w:val="left"/>
                    <w:rPr>
                      <w:rFonts w:hint="default"/>
                      <w:vertAlign w:val="baseline"/>
                      <w:lang w:val="en-US" w:eastAsia="zh-CN"/>
                    </w:rPr>
                  </w:pPr>
                </w:p>
                <w:p w14:paraId="56EDDDB5">
                  <w:pPr>
                    <w:keepNext w:val="0"/>
                    <w:keepLines w:val="0"/>
                    <w:widowControl/>
                    <w:numPr>
                      <w:ilvl w:val="1"/>
                      <w:numId w:val="4"/>
                    </w:numPr>
                    <w:suppressLineNumbers w:val="0"/>
                    <w:ind w:left="420" w:leftChars="0" w:firstLine="0" w:firstLineChars="0"/>
                    <w:jc w:val="left"/>
                    <w:rPr>
                      <w:rFonts w:hint="default"/>
                      <w:lang w:val="en-US" w:eastAsia="zh-CN"/>
                    </w:rPr>
                  </w:pPr>
                  <w:r>
                    <w:rPr>
                      <w:rFonts w:hint="eastAsia"/>
                      <w:lang w:val="en-US" w:eastAsia="zh-CN"/>
                    </w:rPr>
                    <w:t>内部管理网络交换机设置ACL规则，只允许内部管理网络中的虚拟配置采集代理节点和流量发生仪trex和靶场平台通信。以下统一使用内部代理节点来指代虚拟配置采集代理节点和流量发生仪trex。具体规则设置如下：</w:t>
                  </w:r>
                </w:p>
                <w:p w14:paraId="3909DD50">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3.4.1 拒绝掉所有ipv4协议和ipv6协议的流量包，优先级为1001</w:t>
                  </w:r>
                </w:p>
                <w:p w14:paraId="2F82DA9D">
                  <w:pPr>
                    <w:keepNext w:val="0"/>
                    <w:keepLines w:val="0"/>
                    <w:widowControl/>
                    <w:numPr>
                      <w:numId w:val="0"/>
                    </w:numPr>
                    <w:suppressLineNumbers w:val="0"/>
                    <w:ind w:left="420" w:leftChars="0"/>
                    <w:jc w:val="left"/>
                    <w:rPr>
                      <w:rFonts w:hint="eastAsia"/>
                      <w:lang w:val="en-US" w:eastAsia="zh-CN"/>
                    </w:rPr>
                  </w:pPr>
                  <w:r>
                    <w:rPr>
                      <w:rFonts w:hint="eastAsia"/>
                      <w:lang w:val="en-US" w:eastAsia="zh-CN"/>
                    </w:rPr>
                    <w:t xml:space="preserve">  3.4.2 允许源ip和目的ip为内部代理节点接入管理网络交换机的端口ip的流量包，优先级为1002，比上一个优先级更大。</w:t>
                  </w:r>
                </w:p>
                <w:p w14:paraId="03923E75">
                  <w:pPr>
                    <w:keepNext w:val="0"/>
                    <w:keepLines w:val="0"/>
                    <w:widowControl/>
                    <w:numPr>
                      <w:numId w:val="0"/>
                    </w:numPr>
                    <w:suppressLineNumbers w:val="0"/>
                    <w:ind w:left="420" w:leftChars="0"/>
                    <w:jc w:val="left"/>
                    <w:rPr>
                      <w:rFonts w:hint="eastAsia"/>
                      <w:lang w:val="en-US" w:eastAsia="zh-CN"/>
                    </w:rPr>
                  </w:pPr>
                </w:p>
                <w:p w14:paraId="6E012386">
                  <w:pPr>
                    <w:keepNext w:val="0"/>
                    <w:keepLines w:val="0"/>
                    <w:widowControl/>
                    <w:numPr>
                      <w:numId w:val="0"/>
                    </w:numPr>
                    <w:suppressLineNumbers w:val="0"/>
                    <w:jc w:val="left"/>
                    <w:rPr>
                      <w:rFonts w:hint="eastAsia"/>
                    </w:rPr>
                  </w:pPr>
                  <w:r>
                    <w:rPr>
                      <w:rFonts w:hint="eastAsia"/>
                      <w:lang w:val="en-US" w:eastAsia="zh-CN"/>
                    </w:rPr>
                    <w:t>至此，我们就完成了虚拟管理网络的构建，以及针对当前虚拟管理网络构建的实现方式，拓扑实例内部的代理节点获取靶场平台管理操作的信令流量需要进行的反向连接方式的改造。</w:t>
                  </w:r>
                </w:p>
              </w:tc>
            </w:tr>
            <w:tr w14:paraId="2F09C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436F5D47">
                  <w:pPr>
                    <w:spacing w:before="156" w:beforeLines="50" w:after="156" w:afterLines="50"/>
                    <w:jc w:val="left"/>
                    <w:rPr>
                      <w:rFonts w:hint="eastAsia"/>
                    </w:rPr>
                  </w:pPr>
                </w:p>
              </w:tc>
            </w:tr>
          </w:tbl>
          <w:p w14:paraId="7CDEE947"/>
        </w:tc>
      </w:tr>
      <w:tr w14:paraId="074F5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noWrap w:val="0"/>
            <w:vAlign w:val="top"/>
          </w:tcPr>
          <w:p w14:paraId="6FDB03E8">
            <w:pPr>
              <w:jc w:val="left"/>
              <w:rPr>
                <w:rFonts w:hint="eastAsia"/>
              </w:rPr>
            </w:pPr>
            <w:r>
              <w:rPr>
                <w:rFonts w:hint="eastAsia"/>
                <w:b/>
              </w:rPr>
              <w:t>五、</w:t>
            </w:r>
            <w:r>
              <w:rPr>
                <w:b/>
                <w:bCs/>
              </w:rPr>
              <w:t>本发明或实用新型</w:t>
            </w:r>
            <w:r>
              <w:rPr>
                <w:rFonts w:hint="eastAsia"/>
                <w:b/>
                <w:bCs/>
              </w:rPr>
              <w:t>的关键改进点：</w:t>
            </w:r>
            <w:r>
              <w:rPr>
                <w:rFonts w:hint="eastAsia"/>
              </w:rPr>
              <w:t>提炼出技术方案的关键改进点（即哪些改进点是重点想要保护的创新内容），列出1、2、3……以提醒代理人注意，便于代理人撰写权利要求书。</w:t>
            </w:r>
          </w:p>
        </w:tc>
      </w:tr>
      <w:tr w14:paraId="5950B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0A3E42E3">
            <w:pPr>
              <w:numPr>
                <w:ilvl w:val="0"/>
                <w:numId w:val="5"/>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设计了网络靶场中独立的内部虚拟管理网络，实现用于管理操作的信令流量和靶场拓扑实例中的业务节点直接的业务流量网络路由完全分开。保证了管理信令流量有独立网络路由，提高了管理操作的信令流量接收和响应的效率。避免因无法预测的业务流量影响靶场平台管理操作正常进行。</w:t>
            </w:r>
          </w:p>
          <w:p w14:paraId="26812235">
            <w:pPr>
              <w:numPr>
                <w:ilvl w:val="0"/>
                <w:numId w:val="5"/>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内部虚拟管理网络中的虚拟配置采集代理节点和流量发生仪器trex采用定期轮询和反向连接机制获取靶场平台下发的管理操作信息，结合内部核心路由器的SNAT机制，避免内部管理网络直接连接到外部预创建的SN核心路由器，节约SN核心路由器需要连接的网络网段，减少SN核心路由器路由转发压力。提高管理操作的信令流量接收和响应的效率。</w:t>
            </w:r>
          </w:p>
          <w:p w14:paraId="6BD53424">
            <w:pPr>
              <w:numPr>
                <w:ilvl w:val="0"/>
                <w:numId w:val="5"/>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根据内部业务管理网络数量创建对应内部虚拟管理网络，有效达到管理操作的信令流量负载均衡的目的。</w:t>
            </w:r>
          </w:p>
          <w:p w14:paraId="47CB307E">
            <w:pPr>
              <w:spacing w:before="156" w:beforeLines="50" w:after="156" w:afterLines="50"/>
              <w:jc w:val="left"/>
              <w:rPr>
                <w:rFonts w:hint="eastAsia" w:ascii="宋体" w:hAnsi="宋体"/>
              </w:rPr>
            </w:pPr>
          </w:p>
          <w:p w14:paraId="44C316CA">
            <w:pPr>
              <w:spacing w:line="360" w:lineRule="auto"/>
              <w:rPr>
                <w:rFonts w:hint="eastAsia"/>
              </w:rPr>
            </w:pPr>
          </w:p>
        </w:tc>
      </w:tr>
      <w:tr w14:paraId="4F138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46BBE6F8">
            <w:pPr>
              <w:spacing w:before="156" w:beforeLines="50" w:after="156" w:afterLines="50"/>
              <w:jc w:val="left"/>
              <w:rPr>
                <w:rFonts w:hint="eastAsia" w:ascii="宋体" w:hAnsi="宋体"/>
              </w:rPr>
            </w:pPr>
            <w:r>
              <w:rPr>
                <w:rFonts w:hint="eastAsia"/>
                <w:b/>
                <w:bCs/>
              </w:rPr>
              <w:t>六、</w:t>
            </w:r>
            <w:r>
              <w:rPr>
                <w:b/>
                <w:bCs/>
              </w:rPr>
              <w:t>本发明或实用新型取得的有益效果：</w:t>
            </w:r>
            <w:r>
              <w:t>结合本发明创造，写明其与现有技术相比具有的优点：比如产率、质量、精度和效率的提高，能耗、原材料、工序的节省；加工、操作、控制、使用的简便等。</w:t>
            </w:r>
            <w:r>
              <w:rPr>
                <w:rFonts w:hint="eastAsia"/>
              </w:rPr>
              <w:t>注意要结合技术方案中的改进点说明，做到有理有据。</w:t>
            </w:r>
          </w:p>
        </w:tc>
      </w:tr>
      <w:tr w14:paraId="39445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18C1D119">
            <w:pPr>
              <w:numPr>
                <w:ilvl w:val="0"/>
                <w:numId w:val="6"/>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设计了网络靶场中独立的内部虚拟管理网络，实现用于管理操作的信令流量和靶场拓扑实例中的业务节点直接的业务流量网络路由完全分开。保证了管理信令流量有独立网络路由，提高了管理操作的信令流量接收和响应的效率。避免因无法预测的业务流量影响靶场平台管理操作正常进行。</w:t>
            </w:r>
          </w:p>
          <w:p w14:paraId="2DD92573">
            <w:pPr>
              <w:numPr>
                <w:ilvl w:val="0"/>
                <w:numId w:val="6"/>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内部虚拟管理网络中的虚拟配置采集代理节点和流量发生仪器trex采用定期轮询和反向连接机制获取靶场平台下发的管理操作信息，结合内部核心路由器的SNAT机制，避免内部管理网络直接连接到外部预创建的SN核心路由器，节约SN核心路由器需要连接的网络网段，减少SN核心路由器路由转发压力。提高管理操作的信令流量接收和响应的效率。</w:t>
            </w:r>
          </w:p>
          <w:p w14:paraId="2D833C60">
            <w:pPr>
              <w:numPr>
                <w:ilvl w:val="0"/>
                <w:numId w:val="6"/>
              </w:numPr>
              <w:spacing w:before="156" w:beforeLines="50" w:after="156" w:afterLines="50"/>
              <w:ind w:left="315" w:leftChars="0"/>
              <w:jc w:val="left"/>
              <w:rPr>
                <w:rFonts w:hint="default" w:ascii="宋体" w:hAnsi="宋体" w:eastAsia="宋体"/>
                <w:lang w:val="en-US" w:eastAsia="zh-CN"/>
              </w:rPr>
            </w:pPr>
            <w:r>
              <w:rPr>
                <w:rFonts w:hint="eastAsia" w:ascii="宋体" w:hAnsi="宋体"/>
                <w:lang w:val="en-US" w:eastAsia="zh-CN"/>
              </w:rPr>
              <w:t>根据内部业务管理网络数量创建对应内部虚拟管理网络，有效达到管理操作的信令流量负载均衡的目的。</w:t>
            </w:r>
          </w:p>
          <w:p w14:paraId="0156544E">
            <w:pPr>
              <w:spacing w:before="156" w:beforeLines="50" w:after="156" w:afterLines="50"/>
              <w:ind w:left="780"/>
              <w:jc w:val="left"/>
              <w:rPr>
                <w:rFonts w:hint="eastAsia"/>
                <w:b/>
                <w:bCs/>
              </w:rPr>
            </w:pPr>
          </w:p>
          <w:p w14:paraId="7062181D">
            <w:pPr>
              <w:spacing w:before="156" w:beforeLines="50" w:after="156" w:afterLines="50"/>
              <w:ind w:left="780"/>
              <w:jc w:val="left"/>
              <w:rPr>
                <w:b/>
                <w:bCs/>
              </w:rPr>
            </w:pPr>
          </w:p>
        </w:tc>
      </w:tr>
      <w:tr w14:paraId="762DA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noWrap w:val="0"/>
            <w:vAlign w:val="top"/>
          </w:tcPr>
          <w:p w14:paraId="50E11C25">
            <w:pPr>
              <w:jc w:val="left"/>
              <w:rPr>
                <w:rFonts w:hint="eastAsia" w:ascii="宋体"/>
              </w:rPr>
            </w:pPr>
            <w:r>
              <w:rPr>
                <w:rFonts w:hint="eastAsia" w:ascii="宋体" w:hAnsi="宋体" w:cs="宋体"/>
                <w:b/>
                <w:bCs/>
              </w:rPr>
              <w:t>七、本发明或实用新型的替代方案：</w:t>
            </w:r>
            <w:r>
              <w:rPr>
                <w:rFonts w:ascii="宋体" w:hAnsi="宋体" w:cs="宋体"/>
              </w:rPr>
              <w:t>1</w:t>
            </w:r>
            <w:r>
              <w:rPr>
                <w:rFonts w:hint="eastAsia" w:ascii="宋体" w:hAnsi="宋体" w:cs="宋体"/>
              </w:rPr>
              <w:t>、如有替代方案，请详尽写明，以提供足够多的具体实施方式，有助于使专利的保护范围更宽。2、替代方案可以是部分结构、器件、方法步骤的替代，也可以是完整技术方案的替代。</w:t>
            </w:r>
          </w:p>
        </w:tc>
      </w:tr>
      <w:tr w14:paraId="1772D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6" w:hRule="atLeast"/>
          <w:jc w:val="center"/>
        </w:trPr>
        <w:tc>
          <w:tcPr>
            <w:tcW w:w="9360" w:type="dxa"/>
            <w:tcBorders>
              <w:left w:val="single" w:color="auto" w:sz="12" w:space="0"/>
              <w:right w:val="single" w:color="auto" w:sz="12" w:space="0"/>
            </w:tcBorders>
            <w:noWrap w:val="0"/>
            <w:vAlign w:val="top"/>
          </w:tcPr>
          <w:p w14:paraId="43F10AC7">
            <w:pPr>
              <w:spacing w:before="156" w:beforeLines="50" w:after="156" w:afterLines="50"/>
              <w:ind w:firstLine="422" w:firstLineChars="200"/>
              <w:jc w:val="left"/>
              <w:rPr>
                <w:rFonts w:hint="eastAsia"/>
                <w:b/>
                <w:bCs/>
              </w:rPr>
            </w:pPr>
          </w:p>
        </w:tc>
      </w:tr>
    </w:tbl>
    <w:p w14:paraId="30170127">
      <w:pPr>
        <w:spacing w:line="20" w:lineRule="exact"/>
        <w:jc w:val="left"/>
        <w:rPr>
          <w:rFonts w:hint="eastAsia"/>
        </w:rPr>
      </w:pPr>
    </w:p>
    <w:p w14:paraId="30321AF2">
      <w:pPr>
        <w:spacing w:line="20" w:lineRule="exact"/>
        <w:jc w:val="left"/>
      </w:pPr>
    </w:p>
    <w:p w14:paraId="118973B0"/>
    <w:p w14:paraId="2546ED09"/>
    <w:p w14:paraId="12799ABD">
      <w:pPr>
        <w:jc w:val="left"/>
        <w:rPr>
          <w:rFonts w:ascii="宋体"/>
        </w:rPr>
      </w:pPr>
      <w:r>
        <w:rPr>
          <w:rFonts w:hint="eastAsia" w:ascii="宋体" w:hAnsi="宋体" w:cs="宋体"/>
        </w:rPr>
        <w:t>注意：</w:t>
      </w:r>
    </w:p>
    <w:p w14:paraId="5F4F01C5">
      <w:pPr>
        <w:jc w:val="left"/>
        <w:rPr>
          <w:rFonts w:ascii="宋体"/>
        </w:rPr>
      </w:pPr>
      <w:r>
        <w:rPr>
          <w:rFonts w:ascii="宋体" w:hAnsi="宋体" w:cs="宋体"/>
        </w:rPr>
        <w:t>1.</w:t>
      </w:r>
      <w:r>
        <w:rPr>
          <w:rFonts w:hint="eastAsia" w:ascii="宋体" w:hAnsi="宋体" w:cs="宋体"/>
        </w:rPr>
        <w:t>代理人并不是技术专家，交底书要使代理人能看懂，尤其是背景技术和详细技术方案，一定要写的全面、清楚。</w:t>
      </w:r>
    </w:p>
    <w:p w14:paraId="05C212E9">
      <w:pPr>
        <w:jc w:val="left"/>
        <w:rPr>
          <w:rFonts w:ascii="宋体"/>
        </w:rPr>
      </w:pPr>
      <w:r>
        <w:rPr>
          <w:rFonts w:ascii="宋体" w:hAnsi="宋体" w:cs="宋体"/>
        </w:rPr>
        <w:t>2.</w:t>
      </w:r>
      <w:r>
        <w:rPr>
          <w:rFonts w:hint="eastAsia" w:ascii="宋体" w:hAnsi="宋体" w:cs="宋体"/>
        </w:rPr>
        <w:t>英文缩写有中文译文，避免使用英文单词，最好在术语解释部分给出。</w:t>
      </w:r>
    </w:p>
    <w:p w14:paraId="11911A84">
      <w:pPr>
        <w:jc w:val="left"/>
        <w:rPr>
          <w:rFonts w:ascii="宋体"/>
          <w:b/>
          <w:bCs/>
        </w:rPr>
      </w:pPr>
      <w:r>
        <w:rPr>
          <w:rFonts w:ascii="宋体" w:hAnsi="宋体" w:cs="宋体"/>
        </w:rPr>
        <w:t>3.</w:t>
      </w:r>
      <w:r>
        <w:rPr>
          <w:rFonts w:hint="eastAsia" w:ascii="宋体" w:hAnsi="宋体" w:cs="宋体"/>
          <w:b/>
          <w:bCs/>
        </w:rPr>
        <w:t>全文对同一事物的叫法应统一，避免出现一种东西多种叫法。</w:t>
      </w:r>
    </w:p>
    <w:p w14:paraId="69598CE9">
      <w:pPr>
        <w:jc w:val="left"/>
        <w:rPr>
          <w:rFonts w:ascii="宋体"/>
        </w:rPr>
      </w:pPr>
      <w:r>
        <w:rPr>
          <w:rFonts w:ascii="宋体" w:hAnsi="宋体" w:cs="宋体"/>
        </w:rPr>
        <w:t>4.</w:t>
      </w:r>
      <w:r>
        <w:rPr>
          <w:rFonts w:hint="eastAsia" w:ascii="宋体" w:hAnsi="宋体" w:cs="宋体"/>
        </w:rPr>
        <w:t>认为需要保密的地方可在交底书中注明，对代理人不必保密。</w:t>
      </w:r>
    </w:p>
    <w:p w14:paraId="0E0A904C">
      <w:pPr>
        <w:jc w:val="left"/>
        <w:rPr>
          <w:rFonts w:ascii="宋体"/>
        </w:rPr>
      </w:pPr>
      <w:r>
        <w:rPr>
          <w:rFonts w:ascii="宋体" w:hAnsi="宋体" w:cs="宋体"/>
        </w:rPr>
        <w:t>5.</w:t>
      </w:r>
      <w:r>
        <w:rPr>
          <w:rFonts w:hint="eastAsia" w:ascii="宋体" w:hAnsi="宋体" w:cs="宋体"/>
        </w:rPr>
        <w:t xml:space="preserve">专利法规定： </w:t>
      </w:r>
    </w:p>
    <w:p w14:paraId="594ED86B">
      <w:pPr>
        <w:jc w:val="left"/>
        <w:rPr>
          <w:rFonts w:ascii="宋体"/>
        </w:rPr>
      </w:pPr>
      <w:r>
        <w:rPr>
          <w:rFonts w:ascii="宋体" w:hAnsi="宋体" w:cs="宋体"/>
        </w:rPr>
        <w:t>1</w:t>
      </w:r>
      <w:r>
        <w:rPr>
          <w:rFonts w:hint="eastAsia" w:ascii="宋体" w:hAnsi="宋体" w:cs="宋体"/>
        </w:rPr>
        <w:t>）专利必须是一个技术方案，应该阐述发明目的是通过什么技术方案来实现的，不能只有原理，也不能只做功能介绍；</w:t>
      </w:r>
    </w:p>
    <w:p w14:paraId="71293F5C">
      <w:pPr>
        <w:jc w:val="left"/>
        <w:rPr>
          <w:rFonts w:ascii="宋体"/>
        </w:rPr>
      </w:pPr>
      <w:r>
        <w:rPr>
          <w:rFonts w:ascii="宋体" w:hAnsi="宋体" w:cs="宋体"/>
        </w:rPr>
        <w:t>2</w:t>
      </w:r>
      <w:r>
        <w:rPr>
          <w:rFonts w:hint="eastAsia" w:ascii="宋体" w:hAnsi="宋体" w:cs="宋体"/>
        </w:rPr>
        <w:t>）专利必须充分公开，以本领域技术人员不需付出创造性劳动即可实现为准。</w:t>
      </w:r>
    </w:p>
    <w:p w14:paraId="35458D81">
      <w:pPr>
        <w:rPr>
          <w:rFonts w:hint="eastAsia"/>
        </w:rPr>
      </w:pPr>
    </w:p>
    <w:sectPr>
      <w:headerReference r:id="rId3" w:type="default"/>
      <w:footerReference r:id="rId4" w:type="default"/>
      <w:pgSz w:w="11906" w:h="16838"/>
      <w:pgMar w:top="1134" w:right="1531" w:bottom="113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大黑简体">
    <w:altName w:val="宋体"/>
    <w:panose1 w:val="02010601030101010101"/>
    <w:charset w:val="86"/>
    <w:family w:val="auto"/>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9A3E7C">
    <w:pPr>
      <w:pStyle w:val="12"/>
      <w:rPr>
        <w:rFonts w:hint="eastAsia"/>
      </w:rPr>
    </w:pPr>
    <w:r>
      <w:rPr>
        <w:rFonts w:hint="eastAsia"/>
      </w:rPr>
      <w:t>南京苏高专利商标事务所</w:t>
    </w:r>
    <w:r>
      <w:t xml:space="preserve"> </w:t>
    </w:r>
  </w:p>
  <w:p w14:paraId="6E094D4A">
    <w:pPr>
      <w:pStyle w:val="12"/>
      <w:rPr>
        <w:rFonts w:hint="eastAsia"/>
      </w:rPr>
    </w:pPr>
    <w:r>
      <w:rPr>
        <w:rFonts w:hint="eastAsia"/>
      </w:rPr>
      <w:t>专利代理人：孟红梅</w:t>
    </w:r>
    <w:r>
      <w:t xml:space="preserve"> </w:t>
    </w:r>
  </w:p>
  <w:p w14:paraId="5E842718">
    <w:pPr>
      <w:pStyle w:val="12"/>
      <w:rPr>
        <w:rFonts w:hint="eastAsia"/>
      </w:rPr>
    </w:pPr>
    <w:r>
      <w:rPr>
        <w:rFonts w:hint="eastAsia"/>
      </w:rPr>
      <w:t>联系方式：</w:t>
    </w:r>
    <w:r>
      <w:t xml:space="preserve"> </w:t>
    </w:r>
    <w:r>
      <w:rPr>
        <w:rFonts w:hint="eastAsia"/>
      </w:rPr>
      <w:t xml:space="preserve">15715152221   </w:t>
    </w:r>
    <w:r>
      <w:t>025-8469700</w:t>
    </w:r>
    <w:r>
      <w:rPr>
        <w:rFonts w:hint="eastAsia"/>
      </w:rPr>
      <w:t>5</w:t>
    </w:r>
    <w:r>
      <w:t>-80</w:t>
    </w:r>
    <w:r>
      <w:rPr>
        <w:rFonts w:hint="eastAsia"/>
      </w:rPr>
      <w:t>3</w:t>
    </w:r>
    <w:r>
      <w:t xml:space="preserve">   </w:t>
    </w:r>
  </w:p>
  <w:p w14:paraId="0A5564BC">
    <w:pPr>
      <w:pStyle w:val="12"/>
      <w:rPr>
        <w:rFonts w:hint="eastAsia" w:ascii="宋体" w:hAnsi="宋体"/>
        <w:kern w:val="0"/>
        <w:szCs w:val="21"/>
      </w:rPr>
    </w:pPr>
    <w:r>
      <w:fldChar w:fldCharType="begin"/>
    </w:r>
    <w:r>
      <w:instrText xml:space="preserve"> HYPERLINK "mailto:</w:instrText>
    </w:r>
    <w:r>
      <w:rPr>
        <w:rFonts w:hint="eastAsia"/>
      </w:rPr>
      <w:instrText xml:space="preserve">daisymaycs</w:instrText>
    </w:r>
    <w:r>
      <w:instrText xml:space="preserve">@163.com" </w:instrText>
    </w:r>
    <w:r>
      <w:fldChar w:fldCharType="separate"/>
    </w:r>
    <w:r>
      <w:rPr>
        <w:rStyle w:val="19"/>
        <w:rFonts w:hint="eastAsia"/>
      </w:rPr>
      <w:t>daisymaycs</w:t>
    </w:r>
    <w:r>
      <w:rPr>
        <w:rStyle w:val="19"/>
      </w:rPr>
      <w:t>@163.com</w:t>
    </w:r>
    <w:r>
      <w:fldChar w:fldCharType="end"/>
    </w:r>
    <w:r>
      <w:rPr>
        <w:rFonts w:hint="eastAsia"/>
      </w:rPr>
      <w:t xml:space="preserve">  qq:123963571</w:t>
    </w:r>
  </w:p>
  <w:p w14:paraId="5C8E3550">
    <w:pPr>
      <w:pStyle w:val="12"/>
      <w:wordWrap w:val="0"/>
      <w:jc w:val="right"/>
    </w:pPr>
    <w:r>
      <w:rPr>
        <w:rFonts w:hint="eastAsia"/>
        <w:kern w:val="0"/>
      </w:rPr>
      <w:t xml:space="preserve">                                      第 </w:t>
    </w:r>
    <w:r>
      <w:rPr>
        <w:kern w:val="0"/>
      </w:rPr>
      <w:fldChar w:fldCharType="begin"/>
    </w:r>
    <w:r>
      <w:rPr>
        <w:kern w:val="0"/>
      </w:rPr>
      <w:instrText xml:space="preserve"> PAGE </w:instrText>
    </w:r>
    <w:r>
      <w:rPr>
        <w:kern w:val="0"/>
      </w:rPr>
      <w:fldChar w:fldCharType="separate"/>
    </w:r>
    <w:r>
      <w:rPr>
        <w:kern w:val="0"/>
      </w:rPr>
      <w:t>3</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4</w:t>
    </w:r>
    <w:r>
      <w:rPr>
        <w:kern w:val="0"/>
      </w:rPr>
      <w:fldChar w:fldCharType="end"/>
    </w:r>
    <w:r>
      <w:rPr>
        <w:rFonts w:hint="eastAsia"/>
        <w:kern w:val="0"/>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D9AF28">
    <w:pPr>
      <w:pStyle w:val="12"/>
      <w:wordWrap w:val="0"/>
      <w:jc w:val="right"/>
      <w:rPr>
        <w:rFonts w:hint="eastAsia" w:ascii="宋体" w:hAnsi="宋体"/>
        <w:kern w:val="0"/>
        <w:szCs w:val="21"/>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522794"/>
    <w:multiLevelType w:val="multilevel"/>
    <w:tmpl w:val="EA522794"/>
    <w:lvl w:ilvl="0" w:tentative="0">
      <w:start w:val="2"/>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
    <w:nsid w:val="0F3BEA51"/>
    <w:multiLevelType w:val="singleLevel"/>
    <w:tmpl w:val="0F3BEA51"/>
    <w:lvl w:ilvl="0" w:tentative="0">
      <w:start w:val="1"/>
      <w:numFmt w:val="decimal"/>
      <w:suff w:val="space"/>
      <w:lvlText w:val="%1."/>
      <w:lvlJc w:val="left"/>
    </w:lvl>
  </w:abstractNum>
  <w:abstractNum w:abstractNumId="2">
    <w:nsid w:val="17BD5DC7"/>
    <w:multiLevelType w:val="singleLevel"/>
    <w:tmpl w:val="17BD5DC7"/>
    <w:lvl w:ilvl="0" w:tentative="0">
      <w:start w:val="1"/>
      <w:numFmt w:val="decimal"/>
      <w:suff w:val="space"/>
      <w:lvlText w:val="%1."/>
      <w:lvlJc w:val="left"/>
    </w:lvl>
  </w:abstractNum>
  <w:abstractNum w:abstractNumId="3">
    <w:nsid w:val="2BA22DD8"/>
    <w:multiLevelType w:val="multilevel"/>
    <w:tmpl w:val="2BA22DD8"/>
    <w:lvl w:ilvl="0" w:tentative="0">
      <w:start w:val="1"/>
      <w:numFmt w:val="chineseCountingThousand"/>
      <w:pStyle w:val="2"/>
      <w:suff w:val="nothing"/>
      <w:lvlText w:val="第%1章"/>
      <w:lvlJc w:val="left"/>
      <w:pPr>
        <w:ind w:left="851"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4">
    <w:nsid w:val="4F649A39"/>
    <w:multiLevelType w:val="singleLevel"/>
    <w:tmpl w:val="4F649A39"/>
    <w:lvl w:ilvl="0" w:tentative="0">
      <w:start w:val="1"/>
      <w:numFmt w:val="decimal"/>
      <w:suff w:val="space"/>
      <w:lvlText w:val="%1."/>
      <w:lvlJc w:val="left"/>
      <w:pPr>
        <w:ind w:left="210" w:leftChars="0" w:firstLine="0" w:firstLineChars="0"/>
      </w:pPr>
    </w:lvl>
  </w:abstractNum>
  <w:abstractNum w:abstractNumId="5">
    <w:nsid w:val="70D90AEB"/>
    <w:multiLevelType w:val="singleLevel"/>
    <w:tmpl w:val="70D90AEB"/>
    <w:lvl w:ilvl="0" w:tentative="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NzBhM2UwOTMyM2Y3ZDUwNmU1NmVhYWQ2ZjY3Y2UifQ=="/>
  </w:docVars>
  <w:rsids>
    <w:rsidRoot w:val="00172A27"/>
    <w:rsid w:val="00000288"/>
    <w:rsid w:val="00031BFC"/>
    <w:rsid w:val="000375D7"/>
    <w:rsid w:val="000479A4"/>
    <w:rsid w:val="00057DA8"/>
    <w:rsid w:val="00086211"/>
    <w:rsid w:val="000A4132"/>
    <w:rsid w:val="000E390C"/>
    <w:rsid w:val="000E5495"/>
    <w:rsid w:val="00117CE9"/>
    <w:rsid w:val="001B13F5"/>
    <w:rsid w:val="001E2BF0"/>
    <w:rsid w:val="00213D8B"/>
    <w:rsid w:val="002157E7"/>
    <w:rsid w:val="0022440F"/>
    <w:rsid w:val="00227D2C"/>
    <w:rsid w:val="0023546C"/>
    <w:rsid w:val="00245AFF"/>
    <w:rsid w:val="002772DB"/>
    <w:rsid w:val="00293DB9"/>
    <w:rsid w:val="002C7115"/>
    <w:rsid w:val="002E3939"/>
    <w:rsid w:val="002F5F64"/>
    <w:rsid w:val="00314EBC"/>
    <w:rsid w:val="00334690"/>
    <w:rsid w:val="00350ECC"/>
    <w:rsid w:val="00354A60"/>
    <w:rsid w:val="003B62D9"/>
    <w:rsid w:val="003D545D"/>
    <w:rsid w:val="00420F9E"/>
    <w:rsid w:val="0042627B"/>
    <w:rsid w:val="004665F2"/>
    <w:rsid w:val="0046680D"/>
    <w:rsid w:val="0047464D"/>
    <w:rsid w:val="004C37F6"/>
    <w:rsid w:val="0050340E"/>
    <w:rsid w:val="00514B12"/>
    <w:rsid w:val="00543B50"/>
    <w:rsid w:val="005D1FD5"/>
    <w:rsid w:val="005D78B2"/>
    <w:rsid w:val="005E3B3E"/>
    <w:rsid w:val="00611FF2"/>
    <w:rsid w:val="0062355D"/>
    <w:rsid w:val="00630BD7"/>
    <w:rsid w:val="00637E39"/>
    <w:rsid w:val="00660010"/>
    <w:rsid w:val="00684899"/>
    <w:rsid w:val="006F6246"/>
    <w:rsid w:val="00702BA1"/>
    <w:rsid w:val="00744A4B"/>
    <w:rsid w:val="007726B6"/>
    <w:rsid w:val="00781824"/>
    <w:rsid w:val="007A1894"/>
    <w:rsid w:val="007B27CD"/>
    <w:rsid w:val="007B5797"/>
    <w:rsid w:val="007E6069"/>
    <w:rsid w:val="00804B89"/>
    <w:rsid w:val="008577A5"/>
    <w:rsid w:val="00880116"/>
    <w:rsid w:val="008C6D38"/>
    <w:rsid w:val="00931DC3"/>
    <w:rsid w:val="00947A2B"/>
    <w:rsid w:val="009C16EA"/>
    <w:rsid w:val="009C5C79"/>
    <w:rsid w:val="00A441BB"/>
    <w:rsid w:val="00A52D86"/>
    <w:rsid w:val="00A85655"/>
    <w:rsid w:val="00A91F15"/>
    <w:rsid w:val="00AC54F6"/>
    <w:rsid w:val="00AC60FB"/>
    <w:rsid w:val="00AD33C6"/>
    <w:rsid w:val="00AD38AF"/>
    <w:rsid w:val="00AE5965"/>
    <w:rsid w:val="00AF760B"/>
    <w:rsid w:val="00B145A4"/>
    <w:rsid w:val="00B15188"/>
    <w:rsid w:val="00B22BA0"/>
    <w:rsid w:val="00BB4667"/>
    <w:rsid w:val="00BD05EB"/>
    <w:rsid w:val="00C13A44"/>
    <w:rsid w:val="00C25A12"/>
    <w:rsid w:val="00C364F1"/>
    <w:rsid w:val="00C40628"/>
    <w:rsid w:val="00C65C79"/>
    <w:rsid w:val="00D01CF8"/>
    <w:rsid w:val="00D27F6E"/>
    <w:rsid w:val="00D35151"/>
    <w:rsid w:val="00D561B3"/>
    <w:rsid w:val="00E1366A"/>
    <w:rsid w:val="00E275CC"/>
    <w:rsid w:val="00E36168"/>
    <w:rsid w:val="00E4392E"/>
    <w:rsid w:val="00E444A4"/>
    <w:rsid w:val="00EC2F42"/>
    <w:rsid w:val="00EC2F56"/>
    <w:rsid w:val="00F07E60"/>
    <w:rsid w:val="00F443E8"/>
    <w:rsid w:val="00F4747F"/>
    <w:rsid w:val="00F92648"/>
    <w:rsid w:val="00F92DAF"/>
    <w:rsid w:val="00FA4E5C"/>
    <w:rsid w:val="00FD0EDD"/>
    <w:rsid w:val="0201491E"/>
    <w:rsid w:val="024A232D"/>
    <w:rsid w:val="055A23C3"/>
    <w:rsid w:val="07245A0C"/>
    <w:rsid w:val="0C744859"/>
    <w:rsid w:val="0E14355C"/>
    <w:rsid w:val="0EEC256F"/>
    <w:rsid w:val="11C658E0"/>
    <w:rsid w:val="128947CD"/>
    <w:rsid w:val="139A02A9"/>
    <w:rsid w:val="142D093C"/>
    <w:rsid w:val="174733CE"/>
    <w:rsid w:val="17546926"/>
    <w:rsid w:val="17A63A98"/>
    <w:rsid w:val="1B580138"/>
    <w:rsid w:val="1B6E59EB"/>
    <w:rsid w:val="1F3A4DDF"/>
    <w:rsid w:val="23C629BC"/>
    <w:rsid w:val="2425140E"/>
    <w:rsid w:val="24AA313C"/>
    <w:rsid w:val="268B3BE8"/>
    <w:rsid w:val="26D91F2B"/>
    <w:rsid w:val="29F00D1A"/>
    <w:rsid w:val="2A72393D"/>
    <w:rsid w:val="2DA20C53"/>
    <w:rsid w:val="2F0D1C11"/>
    <w:rsid w:val="2F74042A"/>
    <w:rsid w:val="3253189B"/>
    <w:rsid w:val="328B62D2"/>
    <w:rsid w:val="344E061A"/>
    <w:rsid w:val="358C32B6"/>
    <w:rsid w:val="3759555A"/>
    <w:rsid w:val="396956CB"/>
    <w:rsid w:val="39DF2F25"/>
    <w:rsid w:val="421072C1"/>
    <w:rsid w:val="4358675B"/>
    <w:rsid w:val="43924281"/>
    <w:rsid w:val="446B7BD2"/>
    <w:rsid w:val="464D457F"/>
    <w:rsid w:val="471C25A4"/>
    <w:rsid w:val="47B62148"/>
    <w:rsid w:val="4A0C5E86"/>
    <w:rsid w:val="4A2C79B3"/>
    <w:rsid w:val="4CE11798"/>
    <w:rsid w:val="4D435756"/>
    <w:rsid w:val="4E075E34"/>
    <w:rsid w:val="4F63681F"/>
    <w:rsid w:val="4FF50343"/>
    <w:rsid w:val="50A02B88"/>
    <w:rsid w:val="50E841E2"/>
    <w:rsid w:val="52383D45"/>
    <w:rsid w:val="54641BD7"/>
    <w:rsid w:val="54835200"/>
    <w:rsid w:val="567763D2"/>
    <w:rsid w:val="59431AD3"/>
    <w:rsid w:val="5A20736C"/>
    <w:rsid w:val="5A52561A"/>
    <w:rsid w:val="5D9A6232"/>
    <w:rsid w:val="5EED61D1"/>
    <w:rsid w:val="5F9C061B"/>
    <w:rsid w:val="60D53596"/>
    <w:rsid w:val="61406B3E"/>
    <w:rsid w:val="62EC57EF"/>
    <w:rsid w:val="656841FA"/>
    <w:rsid w:val="662B1A6E"/>
    <w:rsid w:val="67167D41"/>
    <w:rsid w:val="67180277"/>
    <w:rsid w:val="68936676"/>
    <w:rsid w:val="6AC07590"/>
    <w:rsid w:val="6BB5324B"/>
    <w:rsid w:val="6C9D53E9"/>
    <w:rsid w:val="6FC40F8F"/>
    <w:rsid w:val="6FDC766B"/>
    <w:rsid w:val="723F1AA9"/>
    <w:rsid w:val="73E229DF"/>
    <w:rsid w:val="75285377"/>
    <w:rsid w:val="76004849"/>
    <w:rsid w:val="760815BA"/>
    <w:rsid w:val="7A7632E8"/>
    <w:rsid w:val="7DC475E8"/>
    <w:rsid w:val="7EB800DB"/>
    <w:rsid w:val="7EC27E07"/>
    <w:rsid w:val="7ECE3A73"/>
    <w:rsid w:val="7FD43D4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0"/>
    <w:qFormat/>
    <w:uiPriority w:val="0"/>
    <w:pPr>
      <w:numPr>
        <w:ilvl w:val="0"/>
        <w:numId w:val="1"/>
      </w:numPr>
      <w:spacing w:before="312" w:beforeLines="100" w:after="312" w:afterLines="100" w:line="360" w:lineRule="auto"/>
      <w:jc w:val="center"/>
      <w:outlineLvl w:val="0"/>
    </w:pPr>
    <w:rPr>
      <w:rFonts w:eastAsia="黑体"/>
      <w:sz w:val="32"/>
      <w:szCs w:val="24"/>
    </w:rPr>
  </w:style>
  <w:style w:type="paragraph" w:styleId="3">
    <w:name w:val="heading 2"/>
    <w:basedOn w:val="1"/>
    <w:next w:val="1"/>
    <w:link w:val="21"/>
    <w:qFormat/>
    <w:uiPriority w:val="0"/>
    <w:pPr>
      <w:keepNext/>
      <w:numPr>
        <w:ilvl w:val="1"/>
        <w:numId w:val="1"/>
      </w:numPr>
      <w:tabs>
        <w:tab w:val="left" w:pos="567"/>
      </w:tabs>
      <w:spacing w:line="360" w:lineRule="auto"/>
      <w:jc w:val="left"/>
      <w:outlineLvl w:val="1"/>
    </w:pPr>
    <w:rPr>
      <w:b/>
      <w:sz w:val="28"/>
      <w:szCs w:val="24"/>
    </w:rPr>
  </w:style>
  <w:style w:type="paragraph" w:styleId="4">
    <w:name w:val="heading 3"/>
    <w:basedOn w:val="1"/>
    <w:next w:val="1"/>
    <w:link w:val="22"/>
    <w:qFormat/>
    <w:uiPriority w:val="0"/>
    <w:pPr>
      <w:keepNext/>
      <w:numPr>
        <w:ilvl w:val="2"/>
        <w:numId w:val="1"/>
      </w:numPr>
      <w:tabs>
        <w:tab w:val="left" w:pos="709"/>
      </w:tabs>
      <w:spacing w:line="360" w:lineRule="auto"/>
      <w:jc w:val="left"/>
      <w:outlineLvl w:val="2"/>
    </w:pPr>
    <w:rPr>
      <w:b/>
      <w:sz w:val="24"/>
      <w:szCs w:val="24"/>
    </w:rPr>
  </w:style>
  <w:style w:type="paragraph" w:styleId="5">
    <w:name w:val="heading 4"/>
    <w:basedOn w:val="1"/>
    <w:next w:val="1"/>
    <w:link w:val="23"/>
    <w:qFormat/>
    <w:uiPriority w:val="0"/>
    <w:pPr>
      <w:keepNext/>
      <w:keepLines/>
      <w:numPr>
        <w:ilvl w:val="3"/>
        <w:numId w:val="1"/>
      </w:numPr>
      <w:tabs>
        <w:tab w:val="left" w:pos="851"/>
      </w:tabs>
      <w:spacing w:after="120" w:line="360" w:lineRule="auto"/>
      <w:outlineLvl w:val="3"/>
    </w:pPr>
    <w:rPr>
      <w:rFonts w:ascii="Arial" w:hAnsi="Arial"/>
      <w:bCs/>
      <w:sz w:val="24"/>
      <w:szCs w:val="28"/>
    </w:rPr>
  </w:style>
  <w:style w:type="paragraph" w:styleId="6">
    <w:name w:val="heading 5"/>
    <w:basedOn w:val="1"/>
    <w:next w:val="1"/>
    <w:link w:val="24"/>
    <w:qFormat/>
    <w:uiPriority w:val="0"/>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25"/>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26"/>
    <w:qFormat/>
    <w:uiPriority w:val="9"/>
    <w:pPr>
      <w:numPr>
        <w:ilvl w:val="6"/>
        <w:numId w:val="1"/>
      </w:numPr>
      <w:spacing w:line="360" w:lineRule="auto"/>
      <w:outlineLvl w:val="6"/>
    </w:pPr>
    <w:rPr>
      <w:bCs/>
      <w:sz w:val="24"/>
      <w:szCs w:val="24"/>
    </w:rPr>
  </w:style>
  <w:style w:type="paragraph" w:styleId="9">
    <w:name w:val="heading 8"/>
    <w:basedOn w:val="1"/>
    <w:next w:val="1"/>
    <w:link w:val="27"/>
    <w:qFormat/>
    <w:uiPriority w:val="0"/>
    <w:pPr>
      <w:keepLines/>
      <w:numPr>
        <w:ilvl w:val="7"/>
        <w:numId w:val="1"/>
      </w:numPr>
      <w:spacing w:before="156" w:beforeLines="50" w:after="156" w:afterLines="50"/>
      <w:jc w:val="center"/>
      <w:outlineLvl w:val="7"/>
    </w:pPr>
    <w:rPr>
      <w:rFonts w:ascii="Arial" w:hAnsi="Arial"/>
      <w:szCs w:val="24"/>
    </w:rPr>
  </w:style>
  <w:style w:type="paragraph" w:styleId="10">
    <w:name w:val="heading 9"/>
    <w:basedOn w:val="1"/>
    <w:next w:val="1"/>
    <w:link w:val="28"/>
    <w:qFormat/>
    <w:uiPriority w:val="0"/>
    <w:pPr>
      <w:keepNext/>
      <w:keepLines/>
      <w:numPr>
        <w:ilvl w:val="8"/>
        <w:numId w:val="1"/>
      </w:numPr>
      <w:spacing w:before="156" w:beforeLines="50" w:after="156" w:afterLines="50"/>
      <w:jc w:val="center"/>
      <w:outlineLvl w:val="8"/>
    </w:pPr>
    <w:rPr>
      <w:rFonts w:ascii="Arial" w:hAnsi="Arial"/>
      <w:szCs w:val="21"/>
    </w:rPr>
  </w:style>
  <w:style w:type="character" w:default="1" w:styleId="16">
    <w:name w:val="Default Paragraph Font"/>
    <w:qFormat/>
    <w:uiPriority w:val="0"/>
  </w:style>
  <w:style w:type="table" w:default="1" w:styleId="14">
    <w:name w:val="Normal Table"/>
    <w:unhideWhenUsed/>
    <w:qFormat/>
    <w:uiPriority w:val="99"/>
    <w:tblPr>
      <w:tblCellMar>
        <w:top w:w="0" w:type="dxa"/>
        <w:left w:w="108" w:type="dxa"/>
        <w:bottom w:w="0" w:type="dxa"/>
        <w:right w:w="108" w:type="dxa"/>
      </w:tblCellMar>
    </w:tblPr>
  </w:style>
  <w:style w:type="paragraph" w:styleId="11">
    <w:name w:val="endnote text"/>
    <w:basedOn w:val="1"/>
    <w:link w:val="29"/>
    <w:unhideWhenUsed/>
    <w:qFormat/>
    <w:uiPriority w:val="99"/>
    <w:pPr>
      <w:snapToGrid w:val="0"/>
      <w:spacing w:line="360" w:lineRule="auto"/>
      <w:jc w:val="left"/>
    </w:pPr>
    <w:rPr>
      <w:sz w:val="24"/>
      <w:szCs w:val="24"/>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rPr>
  </w:style>
  <w:style w:type="table" w:styleId="15">
    <w:name w:val="Table Grid"/>
    <w:basedOn w:val="14"/>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ndnote reference"/>
    <w:qFormat/>
    <w:uiPriority w:val="0"/>
    <w:rPr>
      <w:vertAlign w:val="superscript"/>
    </w:rPr>
  </w:style>
  <w:style w:type="character" w:styleId="18">
    <w:name w:val="page number"/>
    <w:basedOn w:val="16"/>
    <w:qFormat/>
    <w:uiPriority w:val="0"/>
  </w:style>
  <w:style w:type="character" w:styleId="19">
    <w:name w:val="Hyperlink"/>
    <w:qFormat/>
    <w:uiPriority w:val="0"/>
    <w:rPr>
      <w:color w:val="0000FF"/>
      <w:u w:val="single"/>
    </w:rPr>
  </w:style>
  <w:style w:type="character" w:customStyle="1" w:styleId="20">
    <w:name w:val="标题 1 Char"/>
    <w:link w:val="2"/>
    <w:qFormat/>
    <w:uiPriority w:val="0"/>
    <w:rPr>
      <w:rFonts w:eastAsia="黑体"/>
      <w:kern w:val="2"/>
      <w:sz w:val="32"/>
      <w:szCs w:val="24"/>
    </w:rPr>
  </w:style>
  <w:style w:type="character" w:customStyle="1" w:styleId="21">
    <w:name w:val="标题 2 Char"/>
    <w:link w:val="3"/>
    <w:qFormat/>
    <w:uiPriority w:val="0"/>
    <w:rPr>
      <w:b/>
      <w:kern w:val="2"/>
      <w:sz w:val="28"/>
      <w:szCs w:val="24"/>
    </w:rPr>
  </w:style>
  <w:style w:type="character" w:customStyle="1" w:styleId="22">
    <w:name w:val="标题 3 Char"/>
    <w:link w:val="4"/>
    <w:qFormat/>
    <w:uiPriority w:val="0"/>
    <w:rPr>
      <w:b/>
      <w:kern w:val="2"/>
      <w:sz w:val="24"/>
      <w:szCs w:val="24"/>
    </w:rPr>
  </w:style>
  <w:style w:type="character" w:customStyle="1" w:styleId="23">
    <w:name w:val="标题 4 Char"/>
    <w:link w:val="5"/>
    <w:qFormat/>
    <w:uiPriority w:val="0"/>
    <w:rPr>
      <w:rFonts w:ascii="Arial" w:hAnsi="Arial"/>
      <w:bCs/>
      <w:kern w:val="2"/>
      <w:sz w:val="24"/>
      <w:szCs w:val="28"/>
    </w:rPr>
  </w:style>
  <w:style w:type="character" w:customStyle="1" w:styleId="24">
    <w:name w:val="标题 5 Char"/>
    <w:link w:val="6"/>
    <w:qFormat/>
    <w:uiPriority w:val="0"/>
    <w:rPr>
      <w:b/>
      <w:bCs/>
      <w:kern w:val="2"/>
      <w:sz w:val="28"/>
      <w:szCs w:val="28"/>
    </w:rPr>
  </w:style>
  <w:style w:type="character" w:customStyle="1" w:styleId="25">
    <w:name w:val="标题 6 Char"/>
    <w:link w:val="7"/>
    <w:qFormat/>
    <w:uiPriority w:val="0"/>
    <w:rPr>
      <w:rFonts w:ascii="Cambria" w:hAnsi="Cambria"/>
      <w:b/>
      <w:bCs/>
      <w:kern w:val="2"/>
      <w:sz w:val="24"/>
      <w:szCs w:val="24"/>
    </w:rPr>
  </w:style>
  <w:style w:type="character" w:customStyle="1" w:styleId="26">
    <w:name w:val="标题 7 Char"/>
    <w:link w:val="8"/>
    <w:qFormat/>
    <w:uiPriority w:val="9"/>
    <w:rPr>
      <w:bCs/>
      <w:kern w:val="2"/>
      <w:sz w:val="24"/>
      <w:szCs w:val="24"/>
    </w:rPr>
  </w:style>
  <w:style w:type="character" w:customStyle="1" w:styleId="27">
    <w:name w:val="标题 8 Char"/>
    <w:link w:val="9"/>
    <w:qFormat/>
    <w:uiPriority w:val="0"/>
    <w:rPr>
      <w:rFonts w:ascii="Arial" w:hAnsi="Arial"/>
      <w:kern w:val="2"/>
      <w:sz w:val="21"/>
      <w:szCs w:val="24"/>
    </w:rPr>
  </w:style>
  <w:style w:type="character" w:customStyle="1" w:styleId="28">
    <w:name w:val="标题 9 Char"/>
    <w:link w:val="10"/>
    <w:qFormat/>
    <w:uiPriority w:val="0"/>
    <w:rPr>
      <w:rFonts w:ascii="Arial" w:hAnsi="Arial"/>
      <w:kern w:val="2"/>
      <w:sz w:val="21"/>
      <w:szCs w:val="21"/>
    </w:rPr>
  </w:style>
  <w:style w:type="character" w:customStyle="1" w:styleId="29">
    <w:name w:val="尾注文本 Char"/>
    <w:link w:val="11"/>
    <w:qFormat/>
    <w:uiPriority w:val="99"/>
    <w:rPr>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WwW.YlmF.CoM</Company>
  <Pages>8</Pages>
  <Words>4697</Words>
  <Characters>5057</Characters>
  <Lines>12</Lines>
  <Paragraphs>3</Paragraphs>
  <TotalTime>967</TotalTime>
  <ScaleCrop>false</ScaleCrop>
  <LinksUpToDate>false</LinksUpToDate>
  <CharactersWithSpaces>5156</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2014-09-18T12:54:00Z</dcterms:created>
  <dc:creator>YlmF</dc:creator>
  <cp:lastModifiedBy>此间少年</cp:lastModifiedBy>
  <cp:lastPrinted>2014-05-14T09:38:00Z</cp:lastPrinted>
  <dcterms:modified xsi:type="dcterms:W3CDTF">2024-09-04T02:08:00Z</dcterms:modified>
  <dc:title>专利技术交底书</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8A14EB6D6E3445C38ECC8273DB465228_13</vt:lpwstr>
  </property>
</Properties>
</file>