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分析与解答：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频率恰好是前</w:t>
      </w:r>
      <w:r>
        <w:rPr>
          <w:rFonts w:hint="eastAsia"/>
          <w:lang w:val="en-US" w:eastAsia="zh-CN"/>
        </w:rPr>
        <w:t>8个Fibonacci数的哈夫曼编码树如图所示：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9955" cy="2653665"/>
            <wp:effectExtent l="0" t="0" r="4445" b="13335"/>
            <wp:docPr id="1" name="图片 1" descr="C:\Users\Administrator\Pictures\吊毛.png吊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Pictures\吊毛.png吊毛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在一般情况下，n个字符的频率恰好是前n个Fiboncci数，则相应的我哈夫曼编码树深度为n-1。第一个字符的编码长度为n-1。自底向上第i个圆结点中的树为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6pt;width:2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。用数学归纳法容易证明</w:t>
      </w: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60.9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。该性质保证了频率恰好是前n个Fibonacci数的哈夫曼编码树具有所述形状和性质。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53BD4"/>
    <w:rsid w:val="11C03754"/>
    <w:rsid w:val="17B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白色风车</cp:lastModifiedBy>
  <dcterms:modified xsi:type="dcterms:W3CDTF">2019-05-28T14:00:59Z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