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FED90E4">
      <w:pPr>
        <w:pBdr>
          <w:top w:space="48"/>
        </w:pBdr>
        <w:spacing w:line="432"/>
        <w:jc w:val="center"/>
        <w:rPr>
          <w:color w:val="1565c0"/>
        </w:rPr>
      </w:pPr>
      <w:r>
        <w:rPr>
          <w:rFonts w:hint="eastAsia" w:ascii="Microsoft YaHei" w:hAnsi="Microsoft YaHei" w:eastAsia="Microsoft YaHei" w:cs="Microsoft YaHei"/>
          <w:color w:val="1565c0"/>
          <w:spacing w:val="90"/>
          <w:sz w:val="21"/>
        </w:rPr>
        <w:t>zai'hui'zhizaihuizhi</w:t>
      </w:r>
      <w:r>
        <w:rPr>
          <w:rFonts w:ascii="Microsoft YaHei" w:hAnsi="Microsoft YaHei" w:eastAsia="Microsoft YaHei" w:cs="Microsoft YaHei"/>
          <w:color w:val="1565c0"/>
          <w:spacing w:val="90"/>
          <w:sz w:val="21"/>
        </w:rPr>
        <w:t>Q U O T A T I O N</w:t>
      </w:r>
    </w:p>
    <w:p w14:paraId="218005DE">
      <w:pPr>
        <w:pBdr>
          <w:top w:space="48"/>
        </w:pBdr>
        <w:spacing w:line="336"/>
        <w:jc w:val="center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52"/>
        </w:rPr>
        <w:t>实习反馈 AI 数智化试点报价单</w:t>
      </w:r>
    </w:p>
    <w:p w14:paraId="06965398">
      <w:pPr>
        <w:pBdr>
          <w:top w:space="48"/>
        </w:pBdr>
        <w:spacing w:line="432"/>
        <w:jc w:val="center"/>
        <w:rPr>
          <w:color w:val="1b2430"/>
        </w:rPr>
      </w:pPr>
      <w:r>
        <w:rPr>
          <w:rFonts w:hint="eastAsia" w:ascii="Microsoft YaHei" w:hAnsi="Microsoft YaHei" w:eastAsia="Microsoft YaHei" w:cs="Microsoft YaHei"/>
          <w:color w:val="1b2430"/>
          <w:sz w:val="28"/>
        </w:rPr>
        <w:t>知行职业学院 · 机电专业 5 家企业（历史回放 + 并行试点）</w:t>
      </w:r>
    </w:p>
    <w:p w14:paraId="2F493DFF">
      <w:pPr>
        <w:pBdr>
          <w:top w:space="48"/>
        </w:pBdr>
        <w:spacing w:line="432"/>
        <w:jc w:val="center"/>
        <w:rPr>
          <w:color w:val="5a6474"/>
        </w:rPr>
      </w:pPr>
      <w:r>
        <w:rPr>
          <w:rFonts w:hint="eastAsia" w:ascii="SimSun" w:hAnsi="SimSun" w:eastAsia="SimSun" w:cs="SimSun"/>
          <w:color w:val="5a6474"/>
          <w:sz w:val="24"/>
        </w:rPr>
        <w:t>报价对象：知行职业学院（采购人：顾明岚 / 产教融合负责人）</w:t>
      </w:r>
    </w:p>
    <w:p w14:paraId="1BF3C73C">
      <w:pPr>
        <w:pBdr>
          <w:top w:space="48"/>
        </w:pBdr>
        <w:spacing w:line="432"/>
        <w:jc w:val="center"/>
        <w:rPr>
          <w:color w:val="5a6474"/>
        </w:rPr>
      </w:pPr>
      <w:r>
        <w:rPr>
          <w:rFonts w:hint="eastAsia" w:ascii="SimSun" w:hAnsi="SimSun" w:eastAsia="SimSun" w:cs="SimSun"/>
          <w:color w:val="5a6474"/>
          <w:sz w:val="24"/>
        </w:rPr>
        <w:t>报价日期：2026-10-23　|　报价有效期：30 天</w:t>
      </w:r>
    </w:p>
    <w:p w14:paraId="4292465B">
      <w:pPr>
        <w:pBdr>
          <w:top w:space="48"/>
        </w:pBdr>
        <w:spacing w:before="640" w:after="640" w:line="432"/>
        <w:ind w:left="640" w:right="640"/>
        <w:jc w:val="center"/>
        <w:rPr>
          <w:color w:val="1565c0"/>
        </w:rPr>
      </w:pPr>
      <w:r>
        <w:rPr>
          <w:rFonts w:hint="eastAsia" w:ascii="Microsoft YaHei" w:hAnsi="Microsoft YaHei" w:eastAsia="Microsoft YaHei" w:cs="Microsoft YaHei"/>
          <w:b w:val="1"/>
          <w:color w:val="1565c0"/>
          <w:sz w:val="40"/>
        </w:rPr>
        <w:t>报价总额：￥120,000</w:t>
      </w:r>
    </w:p>
    <w:p w14:paraId="4D2F8509">
      <w:pPr>
        <w:pBdr>
          <w:top w:space="48"/>
        </w:pBdr>
        <w:spacing w:line="432"/>
        <w:jc w:val="center"/>
        <w:rPr>
          <w:color w:val="5a6474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5a6474"/>
          <w:sz w:val="24"/>
        </w:rPr>
        <w:t>基础费用 ￥108,000　+　效果浮动金 ￥12,000</w:t>
      </w:r>
    </w:p>
    <w:p w14:paraId="2780129B">
      <w:pPr>
        <w:spacing w:before="240" w:after="120"/>
      </w:pPr>
      <w:r>
        <w:rPr>
          <w:rFonts w:hint="eastAsia"/>
          <w:b w:val="1"/>
        </w:rPr>
        <w:t>目录</w:t>
      </w:r>
    </w:p>
    <w:p w14:paraId="0A5C87F1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一、报价总览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491BF8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二、九个成本科目明细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ACAC7A1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三、效果浮动金支付条款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DB7BCD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四、报价方式选择说明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1E477EB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五、交付物清单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4E7C3B0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六、报价边界与不包含项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32BFFC12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624A4BC">
      <w:pPr>
        <w:pStyle w:val="000004"/>
        <w:keepNext w:val="1"/>
        <w:keepLines w:val="1"/>
        <w:shd w:val="clear" w:fill="1a237e"/>
        <w:spacing w:before="480" w:beforeAutospacing="1" w:after="480" w:afterAutospacing="1"/>
        <w:ind w:left="480" w:right="480"/>
        <w:jc w:val="left"/>
        <w:outlineLvl w:val="0"/>
        <w:rPr>
          <w:color w:val="ffffff"/>
          <w:kern w:val="44"/>
          <w:sz w:val="44"/>
          <w:szCs w:val="44"/>
        </w:rPr>
      </w:pPr>
      <w:bookmarkStart w:id="1" w:name="section-1"/>
      <w:r>
        <w:rPr>
          <w:rFonts w:hint="eastAsia" w:ascii="Microsoft YaHei" w:hAnsi="Microsoft YaHei" w:eastAsia="Microsoft YaHei" w:cs="Microsoft YaHei"/>
          <w:b w:val="1"/>
          <w:color w:val="ffffff"/>
          <w:sz w:val="32"/>
        </w:rPr>
        <w:t>一、报价总览</w:t>
      </w:r>
      <w:bookmarkEnd w:id="1"/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490AE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项目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C90D55">
            <w:pPr>
              <w:jc w:val="righ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金额（元）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ED895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5B764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基础费用（固定范围交付）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4B0ED8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108,000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79E83B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覆盖第一至九科目的人天与一次性投入</w:t>
            </w:r>
          </w:p>
        </w:tc>
      </w:tr>
      <w:tr>
        <w:trPr/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00D43F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效果浮动金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FF1033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12,000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EE812B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挂钩两项验收硬指标，达标全额支付</w:t>
            </w:r>
          </w:p>
        </w:tc>
      </w:tr>
      <w:tr>
        <w:trPr/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7580BF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b w:val="1"/>
                <w:color w:val="1b2430"/>
                <w:sz w:val="21"/>
              </w:rPr>
              <w:t>报价总额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003B43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b w:val="1"/>
                <w:color w:val="1b2430"/>
                <w:sz w:val="21"/>
              </w:rPr>
              <w:t>120,000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92829F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与试点预算口径一致（education-f03）</w:t>
            </w:r>
          </w:p>
        </w:tc>
      </w:tr>
    </w:tbl>
    <w:p w14:paraId="5081C07A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本次合成试点预算为 12 万元，需扣除接口、培训、复核和维护成本；既有系统采购不纳入节省额【education-f03】。本报价总额即按 120,000 元封顶设计，不突破预算。</w:t>
      </w:r>
    </w:p>
    <w:p w14:paraId="1CECD309">
      <w:pPr>
        <w:pStyle w:val="000004"/>
        <w:keepNext w:val="1"/>
        <w:keepLines w:val="1"/>
        <w:shd w:val="clear" w:fill="1a237e"/>
        <w:spacing w:before="480" w:beforeAutospacing="1" w:after="480" w:afterAutospacing="1"/>
        <w:ind w:left="480" w:right="480"/>
        <w:jc w:val="left"/>
        <w:outlineLvl w:val="0"/>
        <w:rPr>
          <w:color w:val="ffffff"/>
          <w:kern w:val="44"/>
          <w:sz w:val="44"/>
          <w:szCs w:val="44"/>
        </w:rPr>
      </w:pPr>
      <w:bookmarkStart w:id="2" w:name="section-2"/>
      <w:r>
        <w:rPr>
          <w:rFonts w:hint="eastAsia" w:ascii="Microsoft YaHei" w:hAnsi="Microsoft YaHei" w:eastAsia="Microsoft YaHei" w:cs="Microsoft YaHei"/>
          <w:b w:val="1"/>
          <w:color w:val="ffffff"/>
          <w:sz w:val="32"/>
        </w:rPr>
        <w:t>二、九个成本科目明细</w:t>
      </w:r>
      <w:bookmarkEnd w:id="2"/>
    </w:p>
    <w:p w14:paraId="392BD563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报价单上只写"开发 XX 人天"，是因为九个科目里只有一个被看见。下表把九个科目全部摆到桌面上，价格才有得谈。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"/>
        <w:gridCol w:w="1328"/>
        <w:gridCol w:w="3405"/>
        <w:gridCol w:w="913"/>
        <w:gridCol w:w="996"/>
        <w:gridCol w:w="1245"/>
      </w:tblGrid>
      <w:tr>
        <w:trPr>
          <w:tblHeader w:val="1"/>
        </w:trPr>
        <w:tc>
          <w:tcPr>
            <w:tcW w:w="41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804E2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ffffff"/>
                <w:sz w:val="21"/>
              </w:rPr>
              <w:t>#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CAFF1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成本科目</w:t>
            </w:r>
          </w:p>
        </w:tc>
        <w:tc>
          <w:tcPr>
            <w:tcW w:w="340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F5B78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工作内容（本项目对应）</w:t>
            </w:r>
          </w:p>
        </w:tc>
        <w:tc>
          <w:tcPr>
            <w:tcW w:w="91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960784">
            <w:pPr>
              <w:jc w:val="righ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数量</w:t>
            </w:r>
          </w:p>
        </w:tc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6E3F13">
            <w:pPr>
              <w:jc w:val="righ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单价（元）</w:t>
            </w:r>
          </w:p>
        </w:tc>
        <w:tc>
          <w:tcPr>
            <w:tcW w:w="124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F600FE">
            <w:pPr>
              <w:jc w:val="righ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小计（元）</w:t>
            </w:r>
          </w:p>
        </w:tc>
      </w:tr>
      <w:tr>
        <w:trPr/>
        <w:tc>
          <w:tcPr>
            <w:tcW w:w="41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805921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01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F601D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售前与机会成本</w:t>
            </w:r>
          </w:p>
        </w:tc>
        <w:tc>
          <w:tcPr>
            <w:tcW w:w="340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7B5BE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标书、方案、驻场调研、POC 演示；由供应商自行吸收，不计入本单</w:t>
            </w:r>
          </w:p>
        </w:tc>
        <w:tc>
          <w:tcPr>
            <w:tcW w:w="91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A44BE7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—</w:t>
            </w:r>
          </w:p>
        </w:tc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00F334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—</w:t>
            </w:r>
          </w:p>
        </w:tc>
        <w:tc>
          <w:tcPr>
            <w:tcW w:w="124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652370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</w:t>
            </w:r>
          </w:p>
        </w:tc>
      </w:tr>
      <w:tr>
        <w:trPr/>
        <w:tc>
          <w:tcPr>
            <w:tcW w:w="41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492B38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02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65608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诊断与场景梳理</w:t>
            </w:r>
          </w:p>
        </w:tc>
        <w:tc>
          <w:tcPr>
            <w:tcW w:w="340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5ABFF6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理解"建议为何落不到课程"，识别真 AI 可落地性；对应现状流程诊断与历史回放范围界定</w:t>
            </w:r>
          </w:p>
        </w:tc>
        <w:tc>
          <w:tcPr>
            <w:tcW w:w="91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B2AF54">
            <w:pPr>
              <w:jc w:val="righ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8 人天</w:t>
            </w:r>
          </w:p>
        </w:tc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33E422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1,600</w:t>
            </w:r>
          </w:p>
        </w:tc>
        <w:tc>
          <w:tcPr>
            <w:tcW w:w="124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FA882E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12,800</w:t>
            </w:r>
          </w:p>
        </w:tc>
      </w:tr>
      <w:tr>
        <w:trPr/>
        <w:tc>
          <w:tcPr>
            <w:tcW w:w="41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E4C192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03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C9F90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方案与架构设计</w:t>
            </w:r>
          </w:p>
        </w:tc>
        <w:tc>
          <w:tcPr>
            <w:tcW w:w="340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00595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技术选型、数据流设计、评测集（Golden Set）设计、安全与权限架构；对应 To-Be 流程 17 步设计</w:t>
            </w:r>
          </w:p>
        </w:tc>
        <w:tc>
          <w:tcPr>
            <w:tcW w:w="91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83F9E1">
            <w:pPr>
              <w:jc w:val="righ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10 人天</w:t>
            </w:r>
          </w:p>
        </w:tc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00A674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1,800</w:t>
            </w:r>
          </w:p>
        </w:tc>
        <w:tc>
          <w:tcPr>
            <w:tcW w:w="124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595608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18,000</w:t>
            </w:r>
          </w:p>
        </w:tc>
      </w:tr>
      <w:tr>
        <w:trPr/>
        <w:tc>
          <w:tcPr>
            <w:tcW w:w="41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498080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04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DD161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数据与知识资产建设</w:t>
            </w:r>
          </w:p>
        </w:tc>
        <w:tc>
          <w:tcPr>
            <w:tcW w:w="340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722B9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清洗、结构化、标注、权限梳理、检索切分：评语"岗位任务 + 行为实例"结构化模板、三平台 ID 映射表、历史反馈补齐模板</w:t>
            </w:r>
          </w:p>
        </w:tc>
        <w:tc>
          <w:tcPr>
            <w:tcW w:w="91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F2181A">
            <w:pPr>
              <w:jc w:val="righ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14 人天</w:t>
            </w:r>
          </w:p>
        </w:tc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71F884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1,600</w:t>
            </w:r>
          </w:p>
        </w:tc>
        <w:tc>
          <w:tcPr>
            <w:tcW w:w="124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253CF3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22,400</w:t>
            </w:r>
          </w:p>
        </w:tc>
      </w:tr>
      <w:tr>
        <w:trPr/>
        <w:tc>
          <w:tcPr>
            <w:tcW w:w="41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58C228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05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270DD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集成与工程实施</w:t>
            </w:r>
          </w:p>
        </w:tc>
        <w:tc>
          <w:tcPr>
            <w:tcW w:w="340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EB069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对接学籍 / 实习 / 课程三平台只读批量导出接口、私有化部署适配；对应多源自动收拢与批次映射</w:t>
            </w:r>
          </w:p>
        </w:tc>
        <w:tc>
          <w:tcPr>
            <w:tcW w:w="91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5D0E3D">
            <w:pPr>
              <w:jc w:val="righ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12 人天</w:t>
            </w:r>
          </w:p>
        </w:tc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A5058E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1,600</w:t>
            </w:r>
          </w:p>
        </w:tc>
        <w:tc>
          <w:tcPr>
            <w:tcW w:w="124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E42992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19,200</w:t>
            </w:r>
          </w:p>
        </w:tc>
      </w:tr>
      <w:tr>
        <w:trPr/>
        <w:tc>
          <w:tcPr>
            <w:tcW w:w="41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FE2066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06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E7F8F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评测与安全合规</w:t>
            </w:r>
          </w:p>
        </w:tc>
        <w:tc>
          <w:tcPr>
            <w:tcW w:w="340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755986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幻觉测试、越权与注入测试、审计留痕、数据分级、统计与存证口径；对应 5 道人工闸门与隐私要求（f40–f45）</w:t>
            </w:r>
          </w:p>
        </w:tc>
        <w:tc>
          <w:tcPr>
            <w:tcW w:w="91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25E488">
            <w:pPr>
              <w:jc w:val="righ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8 人天</w:t>
            </w:r>
          </w:p>
        </w:tc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AC6F32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1,800</w:t>
            </w:r>
          </w:p>
        </w:tc>
        <w:tc>
          <w:tcPr>
            <w:tcW w:w="124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EF4F3E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14,400</w:t>
            </w:r>
          </w:p>
        </w:tc>
      </w:tr>
      <w:tr>
        <w:trPr/>
        <w:tc>
          <w:tcPr>
            <w:tcW w:w="41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2707EA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07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1F5E5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推理与模型调用</w:t>
            </w:r>
          </w:p>
        </w:tc>
        <w:tc>
          <w:tcPr>
            <w:tcW w:w="340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ED431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推理 Token、私有化算力、向量库、第三方 API（OCR / 向量检索）；按半年用量预估，可随策略与规模波动，必须单列</w:t>
            </w:r>
          </w:p>
        </w:tc>
        <w:tc>
          <w:tcPr>
            <w:tcW w:w="91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3CEC27">
            <w:pPr>
              <w:jc w:val="righ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半年用量</w:t>
            </w:r>
          </w:p>
        </w:tc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809AE6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—</w:t>
            </w:r>
          </w:p>
        </w:tc>
        <w:tc>
          <w:tcPr>
            <w:tcW w:w="124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0FF95C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6,000</w:t>
            </w:r>
          </w:p>
        </w:tc>
      </w:tr>
      <w:tr>
        <w:trPr/>
        <w:tc>
          <w:tcPr>
            <w:tcW w:w="41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77414C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08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0089C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部署上线与培训</w:t>
            </w:r>
          </w:p>
        </w:tc>
        <w:tc>
          <w:tcPr>
            <w:tcW w:w="340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4E616D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生产环境部署、用户培训、操作手册、应急演练；现场使用现有终端、不额外配设备（f13），培训贴合现有操作习惯</w:t>
            </w:r>
          </w:p>
        </w:tc>
        <w:tc>
          <w:tcPr>
            <w:tcW w:w="91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1EF9EF">
            <w:pPr>
              <w:jc w:val="righ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6 人天</w:t>
            </w:r>
          </w:p>
        </w:tc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97495B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1,500</w:t>
            </w:r>
          </w:p>
        </w:tc>
        <w:tc>
          <w:tcPr>
            <w:tcW w:w="124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EF4934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9,000</w:t>
            </w:r>
          </w:p>
        </w:tc>
      </w:tr>
      <w:tr>
        <w:trPr/>
        <w:tc>
          <w:tcPr>
            <w:tcW w:w="41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E730C4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09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FD585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运维与持续优化</w:t>
            </w:r>
          </w:p>
        </w:tc>
        <w:tc>
          <w:tcPr>
            <w:tcW w:w="340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7EF8E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监控、模型与 Prompt 迭代、故障响应；对应双周刷新（f34）、接口失败兜底（f35）、每周复盘（f55）</w:t>
            </w:r>
          </w:p>
        </w:tc>
        <w:tc>
          <w:tcPr>
            <w:tcW w:w="91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AF776B">
            <w:pPr>
              <w:jc w:val="righ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3 个月</w:t>
            </w:r>
          </w:p>
        </w:tc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364FDE">
            <w:pPr>
              <w:jc w:val="righ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3,000 / 月</w:t>
            </w:r>
          </w:p>
        </w:tc>
        <w:tc>
          <w:tcPr>
            <w:tcW w:w="124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BEC44B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9,000</w:t>
            </w:r>
          </w:p>
        </w:tc>
      </w:tr>
      <w:tr>
        <w:trPr/>
        <w:tc>
          <w:tcPr>
            <w:tcW w:w="6061" w:type="dxa"/>
            <w:gridSpan w:val="4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818ED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b w:val="1"/>
                <w:color w:val="1b2430"/>
                <w:sz w:val="21"/>
              </w:rPr>
              <w:t>小计</w:t>
            </w:r>
          </w:p>
        </w:tc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7DE8F7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—</w:t>
            </w:r>
          </w:p>
        </w:tc>
        <w:tc>
          <w:tcPr>
            <w:tcW w:w="124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753063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b w:val="1"/>
                <w:color w:val="1b2430"/>
                <w:sz w:val="21"/>
              </w:rPr>
              <w:t>110,800</w:t>
            </w:r>
          </w:p>
        </w:tc>
      </w:tr>
    </w:tbl>
    <w:p w14:paraId="76F2C087">
      <w:pPr>
        <w:pStyle w:val="000003"/>
        <w:keepNext w:val="1"/>
        <w:keepLines w:val="1"/>
        <w:spacing w:before="240" w:beforeAutospacing="1" w:after="240" w:afterAutospacing="1"/>
        <w:ind w:left="240" w:right="240"/>
        <w:jc w:val="left"/>
        <w:outlineLvl w:val="2"/>
        <w:rPr>
          <w:color w:val="1b2430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b2430"/>
          <w:sz w:val="24"/>
        </w:rPr>
        <w:t>九科目之外的三层附加（原价里被略去的部分）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1D523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层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71C07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内容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F643EE">
            <w:pPr>
              <w:jc w:val="righ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金额（元）</w:t>
            </w:r>
          </w:p>
        </w:tc>
      </w:tr>
      <w:tr>
        <w:trPr/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4E735B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① 公司管理分摊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2D55C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销售、行政、房租、设备，按 5% 计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95FE3C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5,520</w:t>
            </w:r>
          </w:p>
        </w:tc>
      </w:tr>
      <w:tr>
        <w:trPr/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8096A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② 风险准备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BA5C0D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需求变更、兼容性、验收争议准备金，按 3.7% 计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39F49A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4,080</w:t>
            </w:r>
          </w:p>
        </w:tc>
      </w:tr>
      <w:tr>
        <w:trPr/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4E4D2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③ 利润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5FF9D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试点项目让利，本期计 0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F7B94E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</w:t>
            </w:r>
          </w:p>
        </w:tc>
      </w:tr>
      <w:tr>
        <w:trPr/>
        <w:tc>
          <w:tcPr>
            <w:tcW w:w="5536" w:type="dxa"/>
            <w:gridSpan w:val="2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6ECABB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b w:val="1"/>
                <w:color w:val="1b2430"/>
                <w:sz w:val="21"/>
              </w:rPr>
              <w:t>三层合计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164AD0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b w:val="1"/>
                <w:color w:val="1b2430"/>
                <w:sz w:val="21"/>
              </w:rPr>
              <w:t>9,600</w:t>
            </w:r>
          </w:p>
        </w:tc>
      </w:tr>
    </w:tbl>
    <w:p w14:paraId="3801F36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2fb"/>
            <w:vAlign w:val="center"/>
          </w:tcPr>
          <w:p w14:paraId="5B66D65A">
            <w:pPr>
              <w:jc w:val="left"/>
              <w:rPr>
                <w:color w:val="5a6474"/>
              </w:rPr>
            </w:pPr>
            <w:r>
              <w:rPr>
                <w:rFonts w:hint="eastAsia" w:ascii="SimSun" w:hAnsi="SimSun" w:eastAsia="SimSun" w:cs="SimSun"/>
                <w:color w:val="5a6474"/>
                <w:sz w:val="18"/>
              </w:rPr>
              <w:t>第一层（公司管理分摊）往往藏在报价上限与"开发"二字里——等于这三层你自己补齐了。本单将其显式列出。</w:t>
            </w:r>
          </w:p>
        </w:tc>
      </w:tr>
    </w:tbl>
    <w:p w14:paraId="21DC0E45">
      <w:pPr>
        <w:pStyle w:val="000004"/>
        <w:keepNext w:val="1"/>
        <w:keepLines w:val="1"/>
        <w:shd w:val="clear" w:fill="1a237e"/>
        <w:spacing w:before="480" w:beforeAutospacing="1" w:after="480" w:afterAutospacing="1"/>
        <w:ind w:left="480" w:right="480"/>
        <w:jc w:val="left"/>
        <w:outlineLvl w:val="0"/>
        <w:rPr>
          <w:color w:val="ffffff"/>
          <w:kern w:val="44"/>
          <w:sz w:val="44"/>
          <w:szCs w:val="44"/>
        </w:rPr>
      </w:pPr>
      <w:bookmarkStart w:id="3" w:name="section-3"/>
      <w:r>
        <w:rPr>
          <w:rFonts w:hint="eastAsia" w:ascii="Microsoft YaHei" w:hAnsi="Microsoft YaHei" w:eastAsia="Microsoft YaHei" w:cs="Microsoft YaHei"/>
          <w:b w:val="1"/>
          <w:color w:val="ffffff"/>
          <w:sz w:val="32"/>
        </w:rPr>
        <w:t>三、效果浮动金支付条款</w:t>
      </w:r>
      <w:bookmarkEnd w:id="3"/>
    </w:p>
    <w:p w14:paraId="3592B51F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浮动金 12,000 元与以下两项验收硬指标挂钩（均为访谈确认的既有验收口径，非本单新增）：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CAC11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指标</w:t>
            </w:r>
          </w:p>
        </w:tc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ED711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目标</w:t>
            </w:r>
          </w:p>
        </w:tc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B1F42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事实依据</w:t>
            </w:r>
          </w:p>
        </w:tc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A41BB8">
            <w:pPr>
              <w:jc w:val="righ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达成支付（元）</w:t>
            </w:r>
          </w:p>
        </w:tc>
      </w:tr>
      <w:tr>
        <w:trPr/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F71BB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反馈完整率</w:t>
            </w:r>
          </w:p>
        </w:tc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80E03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由 54% 提升至 ≥85%</w:t>
            </w:r>
          </w:p>
        </w:tc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B97D9C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education-f00</w:t>
            </w:r>
          </w:p>
        </w:tc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48856E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6,000</w:t>
            </w:r>
          </w:p>
        </w:tc>
      </w:tr>
      <w:tr>
        <w:trPr/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3BFC8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建议可执行率</w:t>
            </w:r>
          </w:p>
        </w:tc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B6ACD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专业组审阅 30 条建议，≥24 条可对应课程、任务和改进负责人</w:t>
            </w:r>
          </w:p>
        </w:tc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FF49CB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education-f42</w:t>
            </w:r>
          </w:p>
        </w:tc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65397F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6,000</w:t>
            </w:r>
          </w:p>
        </w:tc>
      </w:tr>
    </w:tbl>
    <w:p w14:paraId="1C5982A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e6b4f" w:sz="18"/>
              <w:bottom w:val="none" w:sz="8"/>
              <w:right w:val="none" w:sz="8"/>
            </w:tcBorders>
            <w:shd w:val="clear" w:fill="eef7f2"/>
            <w:vAlign w:val="center"/>
          </w:tcPr>
          <w:p w14:paraId="54CB8D0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支付规则：两项均达标，浮动金全额支付；单项达标，按项支付对应金额；均未达标，浮动金不支付，基础费用不受影响。判定口径：分母、统计周期和排除规则由业务负责人固定，不用消息发送量代替实际完成量（education-f53）。</w:t>
            </w:r>
          </w:p>
        </w:tc>
      </w:tr>
    </w:tbl>
    <w:p w14:paraId="7D387C69">
      <w:pPr>
        <w:pStyle w:val="000004"/>
        <w:keepNext w:val="1"/>
        <w:keepLines w:val="1"/>
        <w:shd w:val="clear" w:fill="1a237e"/>
        <w:spacing w:before="480" w:beforeAutospacing="1" w:after="480" w:afterAutospacing="1"/>
        <w:ind w:left="480" w:right="480"/>
        <w:jc w:val="left"/>
        <w:outlineLvl w:val="0"/>
        <w:rPr>
          <w:color w:val="ffffff"/>
          <w:kern w:val="44"/>
          <w:sz w:val="44"/>
          <w:szCs w:val="44"/>
        </w:rPr>
      </w:pPr>
      <w:bookmarkStart w:id="4" w:name="section-4"/>
      <w:r>
        <w:rPr>
          <w:rFonts w:hint="eastAsia" w:ascii="Microsoft YaHei" w:hAnsi="Microsoft YaHei" w:eastAsia="Microsoft YaHei" w:cs="Microsoft YaHei"/>
          <w:b w:val="1"/>
          <w:color w:val="ffffff"/>
          <w:sz w:val="32"/>
        </w:rPr>
        <w:t>四、报价方式选择说明</w:t>
      </w:r>
      <w:bookmarkEnd w:id="4"/>
    </w:p>
    <w:p w14:paraId="3E4BF68C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市场上有六种报价方式。判断标准只有一条：客户能不能用这个价，算出自己赚了多少。算不出来的计价方式（尤其是人天），在 AI 时代必然被压价。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162"/>
        <w:gridCol w:w="5483"/>
      </w:tblGrid>
      <w:tr>
        <w:trPr>
          <w:tblHeader w:val="1"/>
        </w:trPr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83568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计价方式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CA246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是否采用</w:t>
            </w:r>
          </w:p>
        </w:tc>
        <w:tc>
          <w:tcPr>
            <w:tcW w:w="548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E577A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理由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ED1F2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人天 T&amp;M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A6D77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不采用</w:t>
            </w:r>
          </w:p>
        </w:tc>
        <w:tc>
          <w:tcPr>
            <w:tcW w:w="548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35042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客户对 AI 比价时最无力，2026 趋势"雪崩与衰亡"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9292F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功能点 / 规模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80C40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不采用</w:t>
            </w:r>
          </w:p>
        </w:tc>
        <w:tc>
          <w:tcPr>
            <w:tcW w:w="548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2474A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需清晰标准支撑，本项目范围以流程与验收口径定义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D87A7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固定价 / 整包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80C1D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部分采用</w:t>
            </w:r>
          </w:p>
        </w:tc>
        <w:tc>
          <w:tcPr>
            <w:tcW w:w="548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AEACA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基础费用部分采用固定范围价，范围基线见第二节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DA3F97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订阅 / 年费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E4303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不采用</w:t>
            </w:r>
          </w:p>
        </w:tc>
        <w:tc>
          <w:tcPr>
            <w:tcW w:w="548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DC55E6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试点期 90 天数据留存（f43），不适用长周期订阅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A5FDA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用量计费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E568B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部分采用</w:t>
            </w:r>
          </w:p>
        </w:tc>
        <w:tc>
          <w:tcPr>
            <w:tcW w:w="548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E6AA6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仅第 07 科目按用量预估并单列，可随策略与规模波动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39A41F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效果付费 / 分成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80D97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核心参照</w:t>
            </w:r>
          </w:p>
        </w:tc>
        <w:tc>
          <w:tcPr>
            <w:tcW w:w="548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6FA75B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基线钱稳、归因清楚、客户控制变量——与学院"完整率 85%、24/30 可执行"两条验收硬线天然对齐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7EE07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b w:val="1"/>
                <w:color w:val="1b2430"/>
                <w:sz w:val="21"/>
              </w:rPr>
              <w:t>基础费用 + 效果浮动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1185A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b w:val="1"/>
                <w:color w:val="1b2430"/>
                <w:sz w:val="21"/>
              </w:rPr>
              <w:t>本单采用</w:t>
            </w:r>
          </w:p>
        </w:tc>
        <w:tc>
          <w:tcPr>
            <w:tcW w:w="548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AAE3E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几乎所有 AI 落地项目的默认杆位，需事前把公式写死、否则事后全靠谈</w:t>
            </w:r>
          </w:p>
        </w:tc>
      </w:tr>
    </w:tbl>
    <w:p w14:paraId="59C8532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2fb"/>
            <w:vAlign w:val="center"/>
          </w:tcPr>
          <w:p w14:paraId="54817938">
            <w:pPr>
              <w:jc w:val="left"/>
              <w:rPr>
                <w:color w:val="5a6474"/>
              </w:rPr>
            </w:pPr>
            <w:r>
              <w:rPr>
                <w:rFonts w:hint="eastAsia" w:ascii="SimSun" w:hAnsi="SimSun" w:eastAsia="SimSun" w:cs="SimSun"/>
                <w:color w:val="5a6474"/>
                <w:sz w:val="18"/>
              </w:rPr>
              <w:t>政策侧印证：2026 年多部委已明确在采购需求中将 Token 等能力采购、AI 效果采购列为例行句式；414 号文要求三部门按用量计费模式开展采购试点。以效果计价已是政策与市场的双向趋势。</w:t>
            </w:r>
          </w:p>
        </w:tc>
      </w:tr>
    </w:tbl>
    <w:p w14:paraId="186478DB">
      <w:pPr>
        <w:pStyle w:val="000004"/>
        <w:keepNext w:val="1"/>
        <w:keepLines w:val="1"/>
        <w:shd w:val="clear" w:fill="1a237e"/>
        <w:spacing w:before="480" w:beforeAutospacing="1" w:after="480" w:afterAutospacing="1"/>
        <w:ind w:left="480" w:right="480"/>
        <w:jc w:val="left"/>
        <w:outlineLvl w:val="0"/>
        <w:rPr>
          <w:color w:val="ffffff"/>
          <w:kern w:val="44"/>
          <w:sz w:val="44"/>
          <w:szCs w:val="44"/>
        </w:rPr>
      </w:pPr>
      <w:bookmarkStart w:id="5" w:name="section-5"/>
      <w:r>
        <w:rPr>
          <w:rFonts w:hint="eastAsia" w:ascii="Microsoft YaHei" w:hAnsi="Microsoft YaHei" w:eastAsia="Microsoft YaHei" w:cs="Microsoft YaHei"/>
          <w:b w:val="1"/>
          <w:color w:val="ffffff"/>
          <w:sz w:val="32"/>
        </w:rPr>
        <w:t>五、交付物清单</w:t>
      </w:r>
      <w:bookmarkEnd w:id="5"/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5649"/>
        <w:gridCol w:w="1495"/>
      </w:tblGrid>
      <w:tr>
        <w:trPr>
          <w:tblHeader w:val="1"/>
        </w:trPr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57DAD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阶段</w:t>
            </w:r>
          </w:p>
        </w:tc>
        <w:tc>
          <w:tcPr>
            <w:tcW w:w="564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4E036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交付物</w:t>
            </w:r>
          </w:p>
        </w:tc>
        <w:tc>
          <w:tcPr>
            <w:tcW w:w="149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3CEBA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对应科目</w:t>
            </w:r>
          </w:p>
        </w:tc>
      </w:tr>
      <w:tr>
        <w:trPr/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26921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诊断</w:t>
            </w:r>
          </w:p>
        </w:tc>
        <w:tc>
          <w:tcPr>
            <w:tcW w:w="564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EA915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现状流程 As-Is 图、痛点诊断报告（时间 / 成本 / 人工闸门 / 隐私）</w:t>
            </w:r>
          </w:p>
        </w:tc>
        <w:tc>
          <w:tcPr>
            <w:tcW w:w="149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0120D3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02</w:t>
            </w:r>
          </w:p>
        </w:tc>
      </w:tr>
      <w:tr>
        <w:trPr/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F528CD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设计</w:t>
            </w:r>
          </w:p>
        </w:tc>
        <w:tc>
          <w:tcPr>
            <w:tcW w:w="564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D6791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To-Be 流程图（17 步 / 5 道人工闸门）、评测集与权限方案</w:t>
            </w:r>
          </w:p>
        </w:tc>
        <w:tc>
          <w:tcPr>
            <w:tcW w:w="149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4A098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03、06</w:t>
            </w:r>
          </w:p>
        </w:tc>
      </w:tr>
      <w:tr>
        <w:trPr/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64510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建设</w:t>
            </w:r>
          </w:p>
        </w:tc>
        <w:tc>
          <w:tcPr>
            <w:tcW w:w="564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016BF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评语结构化模板、三平台 ID 映射、多源收拢与建议起草服务</w:t>
            </w:r>
          </w:p>
        </w:tc>
        <w:tc>
          <w:tcPr>
            <w:tcW w:w="149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657B47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04、05、07</w:t>
            </w:r>
          </w:p>
        </w:tc>
      </w:tr>
      <w:tr>
        <w:trPr/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58C2C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上线</w:t>
            </w:r>
          </w:p>
        </w:tc>
        <w:tc>
          <w:tcPr>
            <w:tcW w:w="564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DCA99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生产环境、操作手册、培训记录（现有终端可用）</w:t>
            </w:r>
          </w:p>
        </w:tc>
        <w:tc>
          <w:tcPr>
            <w:tcW w:w="149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384C97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08</w:t>
            </w:r>
          </w:p>
        </w:tc>
      </w:tr>
      <w:tr>
        <w:trPr/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D5F61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运维</w:t>
            </w:r>
          </w:p>
        </w:tc>
        <w:tc>
          <w:tcPr>
            <w:tcW w:w="564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DBCFA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双周刷新、兜底快照、每周复盘与规则更新记录</w:t>
            </w:r>
          </w:p>
        </w:tc>
        <w:tc>
          <w:tcPr>
            <w:tcW w:w="149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334F60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09</w:t>
            </w:r>
          </w:p>
        </w:tc>
      </w:tr>
    </w:tbl>
    <w:p w14:paraId="75CDF14E">
      <w:pPr>
        <w:pStyle w:val="000004"/>
        <w:keepNext w:val="1"/>
        <w:keepLines w:val="1"/>
        <w:shd w:val="clear" w:fill="1a237e"/>
        <w:spacing w:before="480" w:beforeAutospacing="1" w:after="480" w:afterAutospacing="1"/>
        <w:ind w:left="480" w:right="480"/>
        <w:jc w:val="left"/>
        <w:outlineLvl w:val="0"/>
        <w:rPr>
          <w:color w:val="ffffff"/>
          <w:kern w:val="44"/>
          <w:sz w:val="44"/>
          <w:szCs w:val="44"/>
        </w:rPr>
      </w:pPr>
      <w:bookmarkStart w:id="6" w:name="section-6"/>
      <w:r>
        <w:rPr>
          <w:rFonts w:hint="eastAsia" w:ascii="Microsoft YaHei" w:hAnsi="Microsoft YaHei" w:eastAsia="Microsoft YaHei" w:cs="Microsoft YaHei"/>
          <w:b w:val="1"/>
          <w:color w:val="ffffff"/>
          <w:sz w:val="32"/>
        </w:rPr>
        <w:t>六、报价边界与不包含项</w:t>
      </w:r>
      <w:bookmarkEnd w:id="6"/>
    </w:p>
    <w:p w14:paraId="2C2DA39D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成绩写回接口不在范围（接口侧仅开放只读批量导出，education-f32）。</w:t>
      </w:r>
    </w:p>
    <w:p w14:paraId="592F5750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变更培养方案的审批走教务委员会，模型不能决定学生成绩（education-f22）——本报价不含任何替代人工签核的模块。</w:t>
      </w:r>
    </w:p>
    <w:p w14:paraId="4D659903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既有系统采购不纳入节省额（education-f03）。</w:t>
      </w:r>
    </w:p>
    <w:p w14:paraId="22F8D81F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评价记录试点期留存 90 天，到期删除或归档由教学质量负责人确认（education-f43）；真实组织的留存期限需另行核实，如需延长留存另行报价。</w:t>
      </w:r>
    </w:p>
    <w:p w14:paraId="26ACAF29">
      <w:pPr>
        <w:spacing w:before="400" w:after="400" w:line="432"/>
        <w:ind w:left="400" w:right="400"/>
        <w:jc w:val="left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供应商：＿＿＿＿＿＿＿＿　报价人：＿＿＿＿＿＿　日期：2026-10-23</w:t>
      </w:r>
    </w:p>
    <w:p w14:paraId="159F0263">
      <w:pPr>
        <w:spacing w:before="400" w:after="400" w:line="432"/>
        <w:ind w:left="400" w:right="400"/>
        <w:jc w:val="left"/>
        <w:rPr>
          <w:color w:val="1b2430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1b2430"/>
          <w:sz w:val="24"/>
        </w:rPr>
        <w:t>采购人确认：＿＿＿＿＿＿（顾明岚 / 产教融合负责人）　日期：＿＿＿＿＿＿</w:t>
      </w:r>
    </w:p>
    <w:p w14:paraId="33D82264">
      <w:pPr/>
    </w:p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1FDDB81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Normal Indent" w:semiHidden="1" w:unhideWhenUsed="1"/>
    <w:lsdException w:name="toc 3" w:uiPriority="39" w:semiHidden="1" w:unhideWhenUsed="1"/>
    <w:lsdException w:name="toc 8" w:uiPriority="39" w:semiHidden="1" w:unhideWhenUsed="1"/>
    <w:lsdException w:name="toa heading" w:semiHidden="1" w:unhideWhenUsed="1"/>
    <w:lsdException w:name="toc 7" w:uiPriority="39" w:semiHidden="1" w:unhideWhenUsed="1"/>
    <w:lsdException w:name="List Number 5" w:semiHidden="1" w:unhideWhenUsed="1"/>
    <w:lsdException w:name="List Continue 4" w:semiHidden="1" w:unhideWhenUsed="1"/>
    <w:lsdException w:name="heading 5" w:uiPriority="9" w:semiHidden="1" w:unhideWhenUsed="1" w:qFormat="1"/>
    <w:lsdException w:name="index 9" w:semiHidden="1" w:unhideWhenUsed="1"/>
    <w:lsdException w:name="index 2" w:semiHidden="1" w:unhideWhenUsed="1"/>
    <w:lsdException w:name="endnote text" w:semiHidden="1" w:unhideWhenUsed="1"/>
    <w:lsdException w:name="Closing" w:semiHidden="1" w:unhideWhenUsed="1"/>
    <w:lsdException w:name="footer" w:semiHidden="1" w:unhideWhenUsed="1"/>
    <w:lsdException w:name="Body Text Indent 3" w:semiHidden="1" w:unhideWhenUsed="1"/>
    <w:lsdException w:name="List Number" w:semiHidden="1" w:unhideWhenUsed="1"/>
    <w:lsdException w:name="List Bullet 3" w:semiHidden="1" w:unhideWhenUsed="1"/>
    <w:lsdException w:name="line number" w:semiHidden="1" w:unhideWhenUsed="1"/>
    <w:lsdException w:name="caption" w:uiPriority="35" w:semiHidden="1" w:unhideWhenUsed="1" w:qFormat="1"/>
    <w:lsdException w:name="annotation reference" w:semiHidden="1" w:unhideWhenUsed="1"/>
    <w:lsdException w:name="toc 9" w:uiPriority="39" w:semiHidden="1" w:unhideWhenUsed="1"/>
    <w:lsdException w:name="annotation text" w:semiHidden="1" w:unhideWhenUsed="1"/>
    <w:lsdException w:name="page number" w:semiHidden="1" w:unhideWhenUsed="1"/>
    <w:lsdException w:name="index 1" w:semiHidden="1" w:unhideWhenUsed="1"/>
    <w:lsdException w:name="List Continue" w:semiHidden="1" w:unhideWhenUsed="1"/>
    <w:lsdException w:name="macro" w:semiHidden="1" w:unhideWhenUsed="1"/>
    <w:lsdException w:name="envelope address" w:semiHidden="1" w:unhideWhenUsed="1"/>
    <w:lsdException w:name="Signature" w:semiHidden="1" w:unhideWhenUsed="1"/>
    <w:lsdException w:name="heading 1" w:uiPriority="9" w:qFormat="1"/>
    <w:lsdException w:name="index 4" w:semiHidden="1" w:unhideWhenUsed="1"/>
    <w:lsdException w:name="List Continue 2" w:semiHidden="1" w:unhideWhenUsed="1"/>
    <w:lsdException w:name="Body Text Indent" w:semiHidden="1" w:unhideWhenUsed="1"/>
    <w:lsdException w:name="Body Text Indent 2" w:semiHidden="1" w:unhideWhenUsed="1"/>
    <w:lsdException w:name="heading 7" w:uiPriority="9" w:semiHidden="1" w:unhideWhenUsed="1" w:qFormat="1"/>
    <w:lsdException w:name="List 3" w:semiHidden="1" w:unhideWhenUsed="1"/>
    <w:lsdException w:name="footnote reference" w:semiHidden="1" w:unhideWhenUsed="1"/>
    <w:lsdException w:name="toc 1" w:uiPriority="39" w:semiHidden="1" w:unhideWhenUsed="1"/>
    <w:lsdException w:name="toc 6" w:uiPriority="39" w:semiHidden="1" w:unhideWhenUsed="1"/>
    <w:lsdException w:name="Body Text First Indent 2" w:semiHidden="1" w:unhideWhenUsed="1"/>
    <w:lsdException w:name="endnote reference" w:semiHidden="1" w:unhideWhenUsed="1"/>
    <w:lsdException w:name="heading 3" w:uiPriority="9" w:semiHidden="1" w:unhideWhenUsed="1" w:qFormat="1"/>
    <w:lsdException w:name="toc 4" w:uiPriority="39" w:semiHidden="1" w:unhideWhenUsed="1"/>
    <w:lsdException w:name="FollowedHyperlink" w:semiHidden="1" w:unhideWhenUsed="1"/>
    <w:lsdException w:name="table of authorities" w:semiHidden="1" w:unhideWhenUsed="1"/>
    <w:lsdException w:name="List Bullet" w:semiHidden="1" w:unhideWhenUsed="1"/>
    <w:lsdException w:name="List Continue 3" w:semiHidden="1" w:unhideWhenUsed="1"/>
    <w:lsdException w:name="Body Text First Indent" w:semiHidden="1" w:unhideWhenUsed="1"/>
    <w:lsdException w:name="index 3" w:semiHidden="1" w:unhideWhenUsed="1"/>
    <w:lsdException w:name="Body Text 3" w:semiHidden="1" w:unhideWhenUsed="1"/>
    <w:lsdException w:name="index 8" w:semiHidden="1" w:unhideWhenUsed="1"/>
    <w:lsdException w:name="Note Heading" w:semiHidden="1" w:unhideWhenUsed="1"/>
    <w:lsdException w:name="index 6" w:semiHidden="1" w:unhideWhenUsed="1"/>
    <w:lsdException w:name="List 5" w:semiHidden="1" w:unhideWhenUsed="1"/>
    <w:lsdException w:name="heading 6" w:uiPriority="9" w:semiHidden="1" w:unhideWhenUsed="1" w:qFormat="1"/>
    <w:lsdException w:name="List 2" w:semiHidden="1" w:unhideWhenUsed="1"/>
    <w:lsdException w:name="footnote text" w:semiHidden="1" w:unhideWhenUsed="1"/>
    <w:lsdException w:name="List 4" w:semiHidden="1" w:unhideWhenUsed="1"/>
    <w:lsdException w:name="heading 9" w:uiPriority="9" w:semiHidden="1" w:unhideWhenUsed="1" w:qFormat="1"/>
    <w:lsdException w:name="header" w:semiHidden="1" w:unhideWhenUsed="1"/>
    <w:lsdException w:name="heading 4" w:uiPriority="9" w:semiHidden="1" w:unhideWhenUsed="1" w:qFormat="1"/>
    <w:lsdException w:name="List Bullet 5" w:semiHidden="1" w:unhideWhenUsed="1"/>
    <w:lsdException w:name="Block Text" w:semiHidden="1" w:unhideWhenUsed="1"/>
    <w:lsdException w:name="heading 8" w:uiPriority="9" w:semiHidden="1" w:unhideWhenUsed="1" w:qFormat="1"/>
    <w:lsdException w:name="Strong" w:uiPriority="22" w:qFormat="1"/>
    <w:lsdException w:name="List Number 2" w:semiHidden="1" w:unhideWhenUsed="1"/>
    <w:lsdException w:name="index heading" w:semiHidden="1" w:unhideWhenUsed="1"/>
    <w:lsdException w:name="toc 2" w:uiPriority="39" w:semiHidden="1" w:unhideWhenUsed="1"/>
    <w:lsdException w:name="List Continue 5" w:semiHidden="1" w:unhideWhenUsed="1"/>
    <w:lsdException w:name="Normal" w:uiPriority="0" w:qFormat="1"/>
    <w:lsdException w:name="Salutation" w:semiHidden="1" w:unhideWhenUsed="1"/>
    <w:lsdException w:name="envelope return" w:semiHidden="1" w:unhideWhenUsed="1"/>
    <w:lsdException w:name="index 5" w:semiHidden="1" w:unhideWhenUsed="1"/>
    <w:lsdException w:name="table of figures" w:semiHidden="1" w:unhideWhenUsed="1"/>
    <w:lsdException w:name="Date" w:semiHidden="1" w:unhideWhenUsed="1"/>
    <w:lsdException w:name="index 7" w:semiHidden="1" w:unhideWhenUsed="1"/>
    <w:lsdException w:name="List" w:semiHidden="1" w:unhideWhenUsed="1"/>
    <w:lsdException w:name="Subtitle" w:uiPriority="11" w:qFormat="1"/>
    <w:lsdException w:name="toc 5" w:uiPriority="39" w:semiHidden="1" w:unhideWhenUsed="1"/>
    <w:lsdException w:name="Message Header" w:semiHidden="1" w:unhideWhenUsed="1"/>
    <w:lsdException w:name="List Bullet 2" w:semiHidden="1" w:unhideWhenUsed="1"/>
    <w:lsdException w:name="heading 2" w:uiPriority="9" w:semiHidden="1" w:unhideWhenUsed="1" w:qFormat="1"/>
    <w:lsdException w:name="Title" w:uiPriority="10" w:qFormat="1"/>
    <w:lsdException w:name="Body Text 2" w:semiHidden="1" w:unhideWhenUsed="1"/>
    <w:lsdException w:name="List Number 4" w:semiHidden="1" w:unhideWhenUsed="1"/>
    <w:lsdException w:name="List Number 3" w:semiHidden="1" w:unhideWhenUsed="1"/>
    <w:lsdException w:name="Default Paragraph Font" w:uiPriority="1" w:semiHidden="1" w:unhideWhenUsed="1"/>
    <w:lsdException w:name="Body Text" w:semiHidden="1" w:unhideWhenUsed="1"/>
    <w:lsdException w:name="Hyperlink" w:semiHidden="1" w:unhideWhenUsed="1"/>
    <w:lsdException w:name="List Bullet 4" w:semiHidden="1" w:unhideWhenUsed="1"/>
  </w:latentStyles>
  <w:style w:type="paragraph" w:styleId="000004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1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3">
    <w:name w:val="heading 3"/>
    <w:basedOn w:val="000002"/>
    <w:next w:val="000002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2026-10-23T11:04:41Z</dcterms:created>
  <dcterms:modified xsi:type="dcterms:W3CDTF">2026-10-23T11:04:41Z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"01a166b113e77a3a8bfa084c381357ea", "ReservedCode1": "", "ContentPropagator": "00119111010856365494821B355", "PropagateID": "01a166b113e77a3a8bfa084c381357ea", "ReservedCode2": ""}}</vt:lpwstr>
  </property>
</Properties>
</file>